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14EC2" w:rsidR="00EB1C5A" w:rsidP="004321DB" w:rsidRDefault="00EB1C5A" w14:paraId="7AA215F3" w14:textId="77777777">
      <w:pPr>
        <w:pStyle w:val="F2-zkladn"/>
        <w:rPr>
          <w:b/>
          <w:sz w:val="28"/>
          <w:szCs w:val="28"/>
        </w:rPr>
      </w:pPr>
      <w:r>
        <w:rPr>
          <w:b/>
          <w:sz w:val="28"/>
          <w:szCs w:val="28"/>
        </w:rPr>
        <w:t>TISKOVÁ ZPRÁVA</w:t>
      </w:r>
    </w:p>
    <w:p w:rsidR="00EB1C5A" w:rsidP="004321DB" w:rsidRDefault="00EB1C5A" w14:paraId="3730F680" w14:textId="0BCB6AA6">
      <w:pPr>
        <w:pStyle w:val="F2-zkladn"/>
        <w:tabs>
          <w:tab w:val="right" w:pos="9070"/>
        </w:tabs>
      </w:pPr>
      <w:r>
        <w:tab/>
      </w:r>
      <w:r w:rsidR="7C25CE9C">
        <w:rPr/>
        <w:t xml:space="preserve"> </w:t>
      </w:r>
      <w:r w:rsidR="00BE16A9">
        <w:rPr/>
        <w:t xml:space="preserve">Praha, </w:t>
      </w:r>
      <w:r w:rsidR="00BA7058">
        <w:rPr/>
        <w:t>1</w:t>
      </w:r>
      <w:r w:rsidR="435F4054">
        <w:rPr/>
        <w:t>6</w:t>
      </w:r>
      <w:r w:rsidRPr="001665B3" w:rsidR="00BE16A9">
        <w:rPr/>
        <w:t>.</w:t>
      </w:r>
      <w:r w:rsidR="00BE16A9">
        <w:rPr/>
        <w:t xml:space="preserve"> </w:t>
      </w:r>
      <w:r w:rsidR="005500FE">
        <w:rPr/>
        <w:t>července</w:t>
      </w:r>
      <w:r w:rsidR="625BE913">
        <w:rPr/>
        <w:t xml:space="preserve"> </w:t>
      </w:r>
      <w:r w:rsidR="00BE16A9">
        <w:rPr/>
        <w:t>202</w:t>
      </w:r>
      <w:r w:rsidR="003D33AF">
        <w:rPr/>
        <w:t>4</w:t>
      </w:r>
    </w:p>
    <w:p w:rsidR="007A39B8" w:rsidP="007A39B8" w:rsidRDefault="007A39B8" w14:paraId="1D4672CB" w14:textId="77777777">
      <w:pPr>
        <w:tabs>
          <w:tab w:val="right" w:pos="9070"/>
        </w:tabs>
        <w:spacing w:after="0" w:line="264" w:lineRule="auto"/>
        <w:jc w:val="both"/>
        <w:rPr>
          <w:rFonts w:ascii="Arial" w:hAnsi="Arial" w:cs="Arial"/>
          <w:b/>
          <w:bCs/>
          <w:sz w:val="24"/>
          <w:szCs w:val="24"/>
        </w:rPr>
      </w:pPr>
    </w:p>
    <w:p w:rsidRPr="007A39B8" w:rsidR="001F501D" w:rsidP="007A39B8" w:rsidRDefault="48A55F41" w14:paraId="1082AA43" w14:textId="6CA128E3">
      <w:pPr>
        <w:tabs>
          <w:tab w:val="right" w:pos="9070"/>
        </w:tabs>
        <w:spacing w:after="0" w:line="264" w:lineRule="auto"/>
        <w:jc w:val="center"/>
        <w:rPr>
          <w:rFonts w:ascii="Arial" w:hAnsi="Arial" w:cs="Arial"/>
          <w:b/>
          <w:bCs/>
          <w:sz w:val="26"/>
          <w:szCs w:val="26"/>
          <w:lang w:eastAsia="cs-CZ"/>
        </w:rPr>
      </w:pPr>
      <w:r w:rsidRPr="574DCD63">
        <w:rPr>
          <w:rFonts w:ascii="Arial" w:hAnsi="Arial" w:cs="Arial"/>
          <w:b/>
          <w:bCs/>
          <w:sz w:val="26"/>
          <w:szCs w:val="26"/>
        </w:rPr>
        <w:t xml:space="preserve">Analýza TPA: </w:t>
      </w:r>
      <w:r w:rsidRPr="574DCD63" w:rsidR="0D23EB31">
        <w:rPr>
          <w:rFonts w:ascii="Arial" w:hAnsi="Arial" w:cs="Arial"/>
          <w:b/>
          <w:bCs/>
          <w:sz w:val="26"/>
          <w:szCs w:val="26"/>
        </w:rPr>
        <w:t>Aktivita na M&amp;A trhu</w:t>
      </w:r>
      <w:r w:rsidRPr="574DCD63" w:rsidR="423EC8DD">
        <w:rPr>
          <w:rFonts w:ascii="Arial" w:hAnsi="Arial" w:cs="Arial"/>
          <w:b/>
          <w:bCs/>
          <w:sz w:val="26"/>
          <w:szCs w:val="26"/>
        </w:rPr>
        <w:t xml:space="preserve"> </w:t>
      </w:r>
      <w:r w:rsidRPr="574DCD63" w:rsidR="5C12BFD7">
        <w:rPr>
          <w:rFonts w:ascii="Arial" w:hAnsi="Arial" w:cs="Arial"/>
          <w:b/>
          <w:bCs/>
          <w:sz w:val="26"/>
          <w:szCs w:val="26"/>
        </w:rPr>
        <w:t>v regionu C</w:t>
      </w:r>
      <w:r w:rsidRPr="574DCD63" w:rsidR="2559AC75">
        <w:rPr>
          <w:rFonts w:ascii="Arial" w:hAnsi="Arial" w:cs="Arial"/>
          <w:b/>
          <w:bCs/>
          <w:sz w:val="26"/>
          <w:szCs w:val="26"/>
        </w:rPr>
        <w:t>E</w:t>
      </w:r>
      <w:r w:rsidRPr="574DCD63" w:rsidR="5C12BFD7">
        <w:rPr>
          <w:rFonts w:ascii="Arial" w:hAnsi="Arial" w:cs="Arial"/>
          <w:b/>
          <w:bCs/>
          <w:sz w:val="26"/>
          <w:szCs w:val="26"/>
        </w:rPr>
        <w:t xml:space="preserve">E </w:t>
      </w:r>
      <w:r w:rsidR="005500FE">
        <w:rPr>
          <w:rFonts w:ascii="Arial" w:hAnsi="Arial" w:cs="Arial"/>
          <w:b/>
          <w:bCs/>
          <w:sz w:val="26"/>
          <w:szCs w:val="26"/>
        </w:rPr>
        <w:t xml:space="preserve">ve druhém </w:t>
      </w:r>
      <w:r w:rsidRPr="574DCD63" w:rsidR="007A39B8">
        <w:rPr>
          <w:rFonts w:ascii="Arial" w:hAnsi="Arial" w:cs="Arial"/>
          <w:b/>
          <w:bCs/>
          <w:sz w:val="26"/>
          <w:szCs w:val="26"/>
        </w:rPr>
        <w:t>čtvrtletí</w:t>
      </w:r>
      <w:r w:rsidRPr="574DCD63" w:rsidR="0D23EB31">
        <w:rPr>
          <w:rFonts w:ascii="Arial" w:hAnsi="Arial" w:cs="Arial"/>
          <w:b/>
          <w:bCs/>
          <w:sz w:val="26"/>
          <w:szCs w:val="26"/>
        </w:rPr>
        <w:t xml:space="preserve"> </w:t>
      </w:r>
      <w:r w:rsidRPr="574DCD63" w:rsidR="3DB991FF">
        <w:rPr>
          <w:rFonts w:ascii="Arial" w:hAnsi="Arial" w:cs="Arial"/>
          <w:b/>
          <w:bCs/>
          <w:sz w:val="26"/>
          <w:szCs w:val="26"/>
        </w:rPr>
        <w:t>202</w:t>
      </w:r>
      <w:r w:rsidRPr="574DCD63" w:rsidR="00F00E13">
        <w:rPr>
          <w:rFonts w:ascii="Arial" w:hAnsi="Arial" w:cs="Arial"/>
          <w:b/>
          <w:bCs/>
          <w:sz w:val="26"/>
          <w:szCs w:val="26"/>
        </w:rPr>
        <w:t>4</w:t>
      </w:r>
      <w:r w:rsidRPr="574DCD63" w:rsidR="5F96C9E2">
        <w:rPr>
          <w:rFonts w:ascii="Arial" w:hAnsi="Arial" w:cs="Arial"/>
          <w:b/>
          <w:bCs/>
          <w:sz w:val="26"/>
          <w:szCs w:val="26"/>
        </w:rPr>
        <w:t>,</w:t>
      </w:r>
      <w:r w:rsidRPr="574DCD63" w:rsidR="3DB991FF">
        <w:rPr>
          <w:rFonts w:ascii="Arial" w:hAnsi="Arial" w:cs="Arial"/>
          <w:b/>
          <w:bCs/>
          <w:sz w:val="26"/>
          <w:szCs w:val="26"/>
        </w:rPr>
        <w:t xml:space="preserve"> </w:t>
      </w:r>
      <w:r w:rsidRPr="574DCD63" w:rsidR="1CFD05CD">
        <w:rPr>
          <w:rFonts w:ascii="Arial" w:hAnsi="Arial" w:cs="Arial"/>
          <w:b/>
          <w:bCs/>
          <w:sz w:val="26"/>
          <w:szCs w:val="26"/>
        </w:rPr>
        <w:t>o</w:t>
      </w:r>
      <w:r w:rsidRPr="574DCD63" w:rsidR="383903CB">
        <w:rPr>
          <w:rFonts w:ascii="Arial" w:hAnsi="Arial" w:cs="Arial"/>
          <w:b/>
          <w:bCs/>
          <w:sz w:val="26"/>
          <w:szCs w:val="26"/>
        </w:rPr>
        <w:t xml:space="preserve">bjem </w:t>
      </w:r>
      <w:r w:rsidRPr="574DCD63" w:rsidR="00BA2004">
        <w:rPr>
          <w:rFonts w:ascii="Arial" w:hAnsi="Arial" w:cs="Arial"/>
          <w:b/>
          <w:bCs/>
          <w:sz w:val="26"/>
          <w:szCs w:val="26"/>
        </w:rPr>
        <w:t xml:space="preserve">i počet </w:t>
      </w:r>
      <w:r w:rsidRPr="574DCD63" w:rsidR="0D23EB31">
        <w:rPr>
          <w:rFonts w:ascii="Arial" w:hAnsi="Arial" w:cs="Arial"/>
          <w:b/>
          <w:bCs/>
          <w:sz w:val="26"/>
          <w:szCs w:val="26"/>
        </w:rPr>
        <w:t>transakcí</w:t>
      </w:r>
      <w:r w:rsidRPr="574DCD63" w:rsidR="58803E62">
        <w:rPr>
          <w:rFonts w:ascii="Arial" w:hAnsi="Arial" w:cs="Arial"/>
          <w:b/>
          <w:bCs/>
          <w:sz w:val="26"/>
          <w:szCs w:val="26"/>
        </w:rPr>
        <w:t xml:space="preserve"> </w:t>
      </w:r>
      <w:r w:rsidRPr="574DCD63" w:rsidR="00BA2004">
        <w:rPr>
          <w:rFonts w:ascii="Arial" w:hAnsi="Arial" w:cs="Arial"/>
          <w:b/>
          <w:bCs/>
          <w:sz w:val="26"/>
          <w:szCs w:val="26"/>
        </w:rPr>
        <w:t xml:space="preserve">v ČR meziročně </w:t>
      </w:r>
      <w:r w:rsidR="005500FE">
        <w:rPr>
          <w:rFonts w:ascii="Arial" w:hAnsi="Arial" w:cs="Arial"/>
          <w:b/>
          <w:bCs/>
          <w:sz w:val="26"/>
          <w:szCs w:val="26"/>
        </w:rPr>
        <w:t>klesl</w:t>
      </w:r>
    </w:p>
    <w:p w:rsidRPr="007A39B8" w:rsidR="007A39B8" w:rsidP="007A39B8" w:rsidRDefault="007A39B8" w14:paraId="5CA8CB40" w14:textId="77777777">
      <w:pPr>
        <w:pStyle w:val="Default"/>
        <w:spacing w:line="264" w:lineRule="auto"/>
        <w:jc w:val="both"/>
        <w:rPr>
          <w:rFonts w:eastAsia="Times New Roman"/>
          <w:b/>
          <w:bCs/>
          <w:sz w:val="28"/>
          <w:szCs w:val="28"/>
          <w:lang w:eastAsia="cs-CZ"/>
        </w:rPr>
      </w:pPr>
    </w:p>
    <w:p w:rsidRPr="005500FE" w:rsidR="005500FE" w:rsidP="005500FE" w:rsidRDefault="005500FE" w14:paraId="4FFE4FDB" w14:textId="5F07B344">
      <w:pPr>
        <w:pStyle w:val="Default"/>
        <w:spacing w:line="264" w:lineRule="auto"/>
        <w:jc w:val="both"/>
        <w:rPr>
          <w:rFonts w:eastAsia="Times New Roman"/>
          <w:b/>
          <w:bCs/>
          <w:sz w:val="22"/>
          <w:szCs w:val="22"/>
          <w:lang w:eastAsia="cs-CZ"/>
        </w:rPr>
      </w:pPr>
      <w:r w:rsidRPr="005500FE">
        <w:rPr>
          <w:rFonts w:eastAsia="Times New Roman"/>
          <w:b/>
          <w:bCs/>
          <w:sz w:val="22"/>
          <w:szCs w:val="22"/>
          <w:lang w:eastAsia="cs-CZ"/>
        </w:rPr>
        <w:t xml:space="preserve">Počet i objem transakcí na trhu fúzí a akvizic v České republice v letošním druhém čtvrtletí meziročně klesl. Na území ČR či se zapojením ČR se uskutečnilo 18 transakcí za zhruba 207 milionů eur (5,3 miliardy Kč). Ve stejné období loni to bylo 27 transakcí za 877 milionů eur (cca 22,3 miliardy Kč). Největší transakcí v ČR byla v letošním druhém čtvrtletí akvizice části společnosti Rohlík Group. Loni ve druhém čtvrtletí byla největší transakcí akvizice české společnosti </w:t>
      </w:r>
      <w:proofErr w:type="spellStart"/>
      <w:r w:rsidRPr="005500FE">
        <w:rPr>
          <w:rFonts w:eastAsia="Times New Roman"/>
          <w:b/>
          <w:bCs/>
          <w:sz w:val="22"/>
          <w:szCs w:val="22"/>
          <w:lang w:eastAsia="cs-CZ"/>
        </w:rPr>
        <w:t>Meopta</w:t>
      </w:r>
      <w:proofErr w:type="spellEnd"/>
      <w:r w:rsidRPr="005500FE">
        <w:rPr>
          <w:rFonts w:eastAsia="Times New Roman"/>
          <w:b/>
          <w:bCs/>
          <w:sz w:val="22"/>
          <w:szCs w:val="22"/>
          <w:lang w:eastAsia="cs-CZ"/>
        </w:rPr>
        <w:t xml:space="preserve"> – Optika za 700 milionů eur.</w:t>
      </w:r>
      <w:r w:rsidR="00D23939">
        <w:rPr>
          <w:rFonts w:eastAsia="Times New Roman"/>
          <w:b/>
          <w:bCs/>
          <w:sz w:val="22"/>
          <w:szCs w:val="22"/>
          <w:lang w:eastAsia="cs-CZ"/>
        </w:rPr>
        <w:t xml:space="preserve"> </w:t>
      </w:r>
      <w:r w:rsidRPr="00D23939" w:rsidR="00D23939">
        <w:rPr>
          <w:rFonts w:eastAsia="Times New Roman"/>
          <w:b/>
          <w:bCs/>
          <w:sz w:val="22"/>
          <w:szCs w:val="22"/>
          <w:lang w:eastAsia="cs-CZ"/>
        </w:rPr>
        <w:t>Pro investory jsou aktuálně atraktivní sektory počítačového softwaru, automatizace, digitalizace a robotizace či telekomunikací, zvýšen</w:t>
      </w:r>
      <w:r w:rsidR="00D23939">
        <w:rPr>
          <w:rFonts w:eastAsia="Times New Roman"/>
          <w:b/>
          <w:bCs/>
          <w:sz w:val="22"/>
          <w:szCs w:val="22"/>
          <w:lang w:eastAsia="cs-CZ"/>
        </w:rPr>
        <w:t>ý</w:t>
      </w:r>
      <w:r w:rsidRPr="00D23939" w:rsidR="00D23939">
        <w:rPr>
          <w:rFonts w:eastAsia="Times New Roman"/>
          <w:b/>
          <w:bCs/>
          <w:sz w:val="22"/>
          <w:szCs w:val="22"/>
          <w:lang w:eastAsia="cs-CZ"/>
        </w:rPr>
        <w:t xml:space="preserve"> </w:t>
      </w:r>
      <w:r w:rsidR="00D23939">
        <w:rPr>
          <w:rFonts w:eastAsia="Times New Roman"/>
          <w:b/>
          <w:bCs/>
          <w:sz w:val="22"/>
          <w:szCs w:val="22"/>
          <w:lang w:eastAsia="cs-CZ"/>
        </w:rPr>
        <w:t>zájem</w:t>
      </w:r>
      <w:r w:rsidRPr="00D23939" w:rsidR="00D23939">
        <w:rPr>
          <w:rFonts w:eastAsia="Times New Roman"/>
          <w:b/>
          <w:bCs/>
          <w:sz w:val="22"/>
          <w:szCs w:val="22"/>
          <w:lang w:eastAsia="cs-CZ"/>
        </w:rPr>
        <w:t xml:space="preserve"> zůstává </w:t>
      </w:r>
      <w:r w:rsidR="00D23939">
        <w:rPr>
          <w:rFonts w:eastAsia="Times New Roman"/>
          <w:b/>
          <w:bCs/>
          <w:sz w:val="22"/>
          <w:szCs w:val="22"/>
          <w:lang w:eastAsia="cs-CZ"/>
        </w:rPr>
        <w:t>o</w:t>
      </w:r>
      <w:r w:rsidRPr="00D23939" w:rsidR="00D23939">
        <w:rPr>
          <w:rFonts w:eastAsia="Times New Roman"/>
          <w:b/>
          <w:bCs/>
          <w:sz w:val="22"/>
          <w:szCs w:val="22"/>
          <w:lang w:eastAsia="cs-CZ"/>
        </w:rPr>
        <w:t xml:space="preserve"> oblast energetiky, zdravotnictví a finančních služeb</w:t>
      </w:r>
      <w:r w:rsidR="00D23939">
        <w:rPr>
          <w:rFonts w:eastAsia="Times New Roman"/>
          <w:b/>
          <w:bCs/>
          <w:sz w:val="22"/>
          <w:szCs w:val="22"/>
          <w:lang w:eastAsia="cs-CZ"/>
        </w:rPr>
        <w:t>.</w:t>
      </w:r>
      <w:r w:rsidRPr="00D23939" w:rsidR="00D23939">
        <w:rPr>
          <w:rFonts w:eastAsia="Times New Roman"/>
          <w:b/>
          <w:bCs/>
          <w:sz w:val="22"/>
          <w:szCs w:val="22"/>
          <w:lang w:eastAsia="cs-CZ"/>
        </w:rPr>
        <w:t xml:space="preserve"> </w:t>
      </w:r>
      <w:r w:rsidRPr="005500FE" w:rsidR="00D23939">
        <w:rPr>
          <w:rFonts w:eastAsia="Times New Roman"/>
          <w:b/>
          <w:bCs/>
          <w:sz w:val="22"/>
          <w:szCs w:val="22"/>
          <w:lang w:eastAsia="cs-CZ"/>
        </w:rPr>
        <w:t>Vyplývá to ze statistik poradenské společnosti TPA.</w:t>
      </w:r>
    </w:p>
    <w:p w:rsidR="00D93651" w:rsidP="00BA2004" w:rsidRDefault="00D93651" w14:paraId="2122FEED" w14:textId="77777777">
      <w:pPr>
        <w:pStyle w:val="Default"/>
        <w:spacing w:line="264" w:lineRule="auto"/>
        <w:jc w:val="both"/>
        <w:rPr>
          <w:rFonts w:eastAsia="Times New Roman"/>
          <w:b/>
          <w:bCs/>
          <w:sz w:val="22"/>
          <w:szCs w:val="22"/>
          <w:lang w:eastAsia="cs-CZ"/>
        </w:rPr>
      </w:pPr>
    </w:p>
    <w:p w:rsidRPr="005500FE" w:rsidR="00D93651" w:rsidP="00D93651" w:rsidRDefault="005500FE" w14:paraId="0B52B452" w14:textId="68723995">
      <w:pPr>
        <w:pStyle w:val="Default"/>
        <w:spacing w:line="264" w:lineRule="auto"/>
        <w:jc w:val="both"/>
        <w:rPr>
          <w:sz w:val="22"/>
          <w:szCs w:val="22"/>
        </w:rPr>
      </w:pPr>
      <w:r w:rsidRPr="005500FE">
        <w:rPr>
          <w:sz w:val="22"/>
          <w:szCs w:val="22"/>
        </w:rPr>
        <w:t xml:space="preserve">Akvizice části společnosti Rohlík Group a.s. byla vedena Evropskou bankou pro obnovu a rozvoj spolu s existujícími investory </w:t>
      </w:r>
      <w:proofErr w:type="spellStart"/>
      <w:r w:rsidRPr="005500FE">
        <w:rPr>
          <w:sz w:val="22"/>
          <w:szCs w:val="22"/>
        </w:rPr>
        <w:t>Sofina</w:t>
      </w:r>
      <w:proofErr w:type="spellEnd"/>
      <w:r w:rsidRPr="005500FE">
        <w:rPr>
          <w:sz w:val="22"/>
          <w:szCs w:val="22"/>
        </w:rPr>
        <w:t xml:space="preserve">, Index </w:t>
      </w:r>
      <w:proofErr w:type="spellStart"/>
      <w:r w:rsidRPr="005500FE">
        <w:rPr>
          <w:sz w:val="22"/>
          <w:szCs w:val="22"/>
        </w:rPr>
        <w:t>Ventures</w:t>
      </w:r>
      <w:proofErr w:type="spellEnd"/>
      <w:r w:rsidRPr="005500FE">
        <w:rPr>
          <w:sz w:val="22"/>
          <w:szCs w:val="22"/>
        </w:rPr>
        <w:t xml:space="preserve">, Quadrille a TCF </w:t>
      </w:r>
      <w:proofErr w:type="spellStart"/>
      <w:r w:rsidRPr="005500FE">
        <w:rPr>
          <w:sz w:val="22"/>
          <w:szCs w:val="22"/>
        </w:rPr>
        <w:t>Capital</w:t>
      </w:r>
      <w:proofErr w:type="spellEnd"/>
      <w:r w:rsidRPr="005500FE">
        <w:rPr>
          <w:sz w:val="22"/>
          <w:szCs w:val="22"/>
        </w:rPr>
        <w:t xml:space="preserve"> a byla doplněna o financování</w:t>
      </w:r>
      <w:r>
        <w:rPr>
          <w:sz w:val="22"/>
          <w:szCs w:val="22"/>
        </w:rPr>
        <w:t xml:space="preserve"> </w:t>
      </w:r>
      <w:r w:rsidRPr="005500FE">
        <w:rPr>
          <w:sz w:val="22"/>
          <w:szCs w:val="22"/>
        </w:rPr>
        <w:t>růstu od Evropské investiční banky (EIB) v rámci její iniciativy Scale-Up12.</w:t>
      </w:r>
      <w:r>
        <w:rPr>
          <w:sz w:val="22"/>
          <w:szCs w:val="22"/>
        </w:rPr>
        <w:t xml:space="preserve"> </w:t>
      </w:r>
      <w:r w:rsidRPr="005500FE">
        <w:rPr>
          <w:i/>
          <w:iCs/>
          <w:sz w:val="22"/>
          <w:szCs w:val="22"/>
        </w:rPr>
        <w:t>„Jednalo se o akvizici nově vytvořeného kapitálu za účelem zrychlení expanze do regionů DACH (Německo, Rakousko, Švýcarsko) a CEE (střední a východní Evropa). Cena transakce činila 159 milionů eur,“</w:t>
      </w:r>
      <w:r>
        <w:rPr>
          <w:sz w:val="22"/>
          <w:szCs w:val="22"/>
        </w:rPr>
        <w:t xml:space="preserve"> </w:t>
      </w:r>
      <w:r w:rsidRPr="00D93651" w:rsidR="00D93651">
        <w:rPr>
          <w:sz w:val="22"/>
          <w:szCs w:val="22"/>
        </w:rPr>
        <w:t xml:space="preserve">uvedl </w:t>
      </w:r>
      <w:r w:rsidRPr="00965886" w:rsidR="00D93651">
        <w:rPr>
          <w:rFonts w:eastAsia="Times New Roman"/>
          <w:sz w:val="22"/>
          <w:szCs w:val="22"/>
          <w:lang w:eastAsia="cs-CZ"/>
        </w:rPr>
        <w:t xml:space="preserve">Jiří Hlaváč partner TPA </w:t>
      </w:r>
      <w:proofErr w:type="spellStart"/>
      <w:r w:rsidRPr="00965886" w:rsidR="00D93651">
        <w:rPr>
          <w:rFonts w:eastAsia="Times New Roman"/>
          <w:sz w:val="22"/>
          <w:szCs w:val="22"/>
          <w:lang w:eastAsia="cs-CZ"/>
        </w:rPr>
        <w:t>Valuation</w:t>
      </w:r>
      <w:proofErr w:type="spellEnd"/>
      <w:r w:rsidRPr="00965886" w:rsidR="00D93651">
        <w:rPr>
          <w:rFonts w:eastAsia="Times New Roman"/>
          <w:sz w:val="22"/>
          <w:szCs w:val="22"/>
          <w:lang w:eastAsia="cs-CZ"/>
        </w:rPr>
        <w:t xml:space="preserve"> &amp; Advisory.</w:t>
      </w:r>
    </w:p>
    <w:p w:rsidR="00065420" w:rsidP="00D93651" w:rsidRDefault="00065420" w14:paraId="32F49850" w14:textId="77777777">
      <w:pPr>
        <w:pStyle w:val="Default"/>
        <w:spacing w:line="264" w:lineRule="auto"/>
        <w:jc w:val="both"/>
        <w:rPr>
          <w:rFonts w:eastAsia="Times New Roman"/>
          <w:sz w:val="22"/>
          <w:szCs w:val="22"/>
          <w:lang w:eastAsia="cs-CZ"/>
        </w:rPr>
      </w:pPr>
    </w:p>
    <w:p w:rsidRPr="00D23939" w:rsidR="00494D1A" w:rsidP="00D23939" w:rsidRDefault="00AD0D2A" w14:paraId="310995A7" w14:textId="3B0DBEC8">
      <w:pPr>
        <w:jc w:val="both"/>
        <w:rPr>
          <w:rFonts w:ascii="Arial" w:hAnsi="Arial" w:cs="Arial"/>
        </w:rPr>
      </w:pPr>
      <w:r w:rsidRPr="00AD0D2A">
        <w:rPr>
          <w:rFonts w:ascii="Arial" w:hAnsi="Arial" w:cs="Arial"/>
        </w:rPr>
        <w:t>V celém středoevropském regionu (Albánie, Bulharsko, Černá Hora, Česká republika, Chorvatsko, Maďarsko, Polsko, Rakousko, Rumunsko, Slovensko, Slovinsko a Srbsko) TPA registruje meziroční pokles počtu transakcí o 35 na 195. Jejich objem se ale zvýšil na 9,9 miliardy eur (zhruba 251 miliard Kč) z 8,2 miliardy eur (208 miliardy Kč) o rok dříve. Nejvíce transakcí bylo zaznamenáno opět v Polsku, zemí s největším objemem se stalo Maďarsko.</w:t>
      </w:r>
    </w:p>
    <w:p w:rsidRPr="00AD0D2A" w:rsidR="00AD0D2A" w:rsidP="00AD0D2A" w:rsidRDefault="00AD0D2A" w14:paraId="516018F2" w14:textId="5B69F581">
      <w:pPr>
        <w:pStyle w:val="Default"/>
        <w:spacing w:line="264" w:lineRule="auto"/>
        <w:jc w:val="both"/>
        <w:rPr>
          <w:rFonts w:eastAsia="Times New Roman"/>
          <w:sz w:val="22"/>
          <w:szCs w:val="22"/>
          <w:lang w:eastAsia="cs-CZ"/>
        </w:rPr>
      </w:pPr>
      <w:r w:rsidRPr="00AD0D2A">
        <w:rPr>
          <w:rFonts w:eastAsia="Times New Roman"/>
          <w:sz w:val="22"/>
          <w:szCs w:val="22"/>
          <w:lang w:eastAsia="cs-CZ"/>
        </w:rPr>
        <w:t>Nejvýznamnější zveřejněnou transakcí v celém regionu byl prodej 100</w:t>
      </w:r>
      <w:r>
        <w:rPr>
          <w:rFonts w:eastAsia="Times New Roman"/>
          <w:sz w:val="22"/>
          <w:szCs w:val="22"/>
          <w:lang w:eastAsia="cs-CZ"/>
        </w:rPr>
        <w:t>%</w:t>
      </w:r>
      <w:r w:rsidRPr="00AD0D2A">
        <w:rPr>
          <w:rFonts w:eastAsia="Times New Roman"/>
          <w:sz w:val="22"/>
          <w:szCs w:val="22"/>
          <w:lang w:eastAsia="cs-CZ"/>
        </w:rPr>
        <w:t xml:space="preserve"> podílu maďarské dopravní společnosti </w:t>
      </w:r>
      <w:proofErr w:type="spellStart"/>
      <w:r w:rsidRPr="00AD0D2A">
        <w:rPr>
          <w:rFonts w:eastAsia="Times New Roman"/>
          <w:sz w:val="22"/>
          <w:szCs w:val="22"/>
          <w:lang w:eastAsia="cs-CZ"/>
        </w:rPr>
        <w:t>Budapest</w:t>
      </w:r>
      <w:proofErr w:type="spellEnd"/>
      <w:r w:rsidRPr="00AD0D2A">
        <w:rPr>
          <w:rFonts w:eastAsia="Times New Roman"/>
          <w:sz w:val="22"/>
          <w:szCs w:val="22"/>
          <w:lang w:eastAsia="cs-CZ"/>
        </w:rPr>
        <w:t xml:space="preserve"> </w:t>
      </w:r>
      <w:proofErr w:type="spellStart"/>
      <w:r w:rsidRPr="00AD0D2A">
        <w:rPr>
          <w:rFonts w:eastAsia="Times New Roman"/>
          <w:sz w:val="22"/>
          <w:szCs w:val="22"/>
          <w:lang w:eastAsia="cs-CZ"/>
        </w:rPr>
        <w:t>Airport</w:t>
      </w:r>
      <w:proofErr w:type="spellEnd"/>
      <w:r w:rsidRPr="00AD0D2A">
        <w:rPr>
          <w:rFonts w:eastAsia="Times New Roman"/>
          <w:sz w:val="22"/>
          <w:szCs w:val="22"/>
          <w:lang w:eastAsia="cs-CZ"/>
        </w:rPr>
        <w:t xml:space="preserve"> maďarskému státnímu investičnímu fondu </w:t>
      </w:r>
      <w:proofErr w:type="spellStart"/>
      <w:r w:rsidRPr="00AD0D2A">
        <w:rPr>
          <w:rFonts w:eastAsia="Times New Roman"/>
          <w:sz w:val="22"/>
          <w:szCs w:val="22"/>
          <w:lang w:eastAsia="cs-CZ"/>
        </w:rPr>
        <w:t>Corvinus</w:t>
      </w:r>
      <w:proofErr w:type="spellEnd"/>
      <w:r w:rsidRPr="00AD0D2A">
        <w:rPr>
          <w:rFonts w:eastAsia="Times New Roman"/>
          <w:sz w:val="22"/>
          <w:szCs w:val="22"/>
          <w:lang w:eastAsia="cs-CZ"/>
        </w:rPr>
        <w:t xml:space="preserve"> a francouzskému spoluinvestorovi Vinci </w:t>
      </w:r>
      <w:proofErr w:type="spellStart"/>
      <w:r w:rsidRPr="00AD0D2A">
        <w:rPr>
          <w:rFonts w:eastAsia="Times New Roman"/>
          <w:sz w:val="22"/>
          <w:szCs w:val="22"/>
          <w:lang w:eastAsia="cs-CZ"/>
        </w:rPr>
        <w:t>Airports</w:t>
      </w:r>
      <w:proofErr w:type="spellEnd"/>
      <w:r w:rsidRPr="00AD0D2A">
        <w:rPr>
          <w:rFonts w:eastAsia="Times New Roman"/>
          <w:sz w:val="22"/>
          <w:szCs w:val="22"/>
          <w:lang w:eastAsia="cs-CZ"/>
        </w:rPr>
        <w:t xml:space="preserve">, který přebral roli provozovatele letiště. </w:t>
      </w:r>
      <w:r w:rsidRPr="00AD0D2A">
        <w:rPr>
          <w:rFonts w:eastAsia="Times New Roman"/>
          <w:i/>
          <w:iCs/>
          <w:sz w:val="22"/>
          <w:szCs w:val="22"/>
          <w:lang w:eastAsia="cs-CZ"/>
        </w:rPr>
        <w:t xml:space="preserve">„Vyjednávání této akvizice probíhalo již od července 2021, kdy byla ze strany maďarské vlády poprvé zveřejněna nabídka ke koupi společnosti </w:t>
      </w:r>
      <w:proofErr w:type="spellStart"/>
      <w:r w:rsidRPr="00AD0D2A">
        <w:rPr>
          <w:rFonts w:eastAsia="Times New Roman"/>
          <w:i/>
          <w:iCs/>
          <w:sz w:val="22"/>
          <w:szCs w:val="22"/>
          <w:lang w:eastAsia="cs-CZ"/>
        </w:rPr>
        <w:t>Budapest</w:t>
      </w:r>
      <w:proofErr w:type="spellEnd"/>
      <w:r w:rsidRPr="00AD0D2A">
        <w:rPr>
          <w:rFonts w:eastAsia="Times New Roman"/>
          <w:i/>
          <w:iCs/>
          <w:sz w:val="22"/>
          <w:szCs w:val="22"/>
          <w:lang w:eastAsia="cs-CZ"/>
        </w:rPr>
        <w:t xml:space="preserve"> </w:t>
      </w:r>
      <w:proofErr w:type="spellStart"/>
      <w:r w:rsidRPr="00AD0D2A">
        <w:rPr>
          <w:rFonts w:eastAsia="Times New Roman"/>
          <w:i/>
          <w:iCs/>
          <w:sz w:val="22"/>
          <w:szCs w:val="22"/>
          <w:lang w:eastAsia="cs-CZ"/>
        </w:rPr>
        <w:t>Airport</w:t>
      </w:r>
      <w:proofErr w:type="spellEnd"/>
      <w:r w:rsidRPr="00AD0D2A">
        <w:rPr>
          <w:rFonts w:eastAsia="Times New Roman"/>
          <w:i/>
          <w:iCs/>
          <w:sz w:val="22"/>
          <w:szCs w:val="22"/>
          <w:lang w:eastAsia="cs-CZ"/>
        </w:rPr>
        <w:t xml:space="preserve"> </w:t>
      </w:r>
      <w:proofErr w:type="spellStart"/>
      <w:r w:rsidRPr="00AD0D2A">
        <w:rPr>
          <w:rFonts w:eastAsia="Times New Roman"/>
          <w:i/>
          <w:iCs/>
          <w:sz w:val="22"/>
          <w:szCs w:val="22"/>
          <w:lang w:eastAsia="cs-CZ"/>
        </w:rPr>
        <w:t>Zrt</w:t>
      </w:r>
      <w:proofErr w:type="spellEnd"/>
      <w:r w:rsidRPr="00AD0D2A">
        <w:rPr>
          <w:rFonts w:eastAsia="Times New Roman"/>
          <w:i/>
          <w:iCs/>
          <w:sz w:val="22"/>
          <w:szCs w:val="22"/>
          <w:lang w:eastAsia="cs-CZ"/>
        </w:rPr>
        <w:t xml:space="preserve">. Cena za transakci byla oceněna na 4,3 miliardy eur (cca 109 miliard Kč). Maďarský stát se tak nově stal vlastníkem 80% podílu a spoluinvestor Vinci </w:t>
      </w:r>
      <w:proofErr w:type="spellStart"/>
      <w:r w:rsidRPr="00AD0D2A">
        <w:rPr>
          <w:rFonts w:eastAsia="Times New Roman"/>
          <w:i/>
          <w:iCs/>
          <w:sz w:val="22"/>
          <w:szCs w:val="22"/>
          <w:lang w:eastAsia="cs-CZ"/>
        </w:rPr>
        <w:t>Airports</w:t>
      </w:r>
      <w:proofErr w:type="spellEnd"/>
      <w:r w:rsidRPr="00AD0D2A">
        <w:rPr>
          <w:rFonts w:eastAsia="Times New Roman"/>
          <w:i/>
          <w:iCs/>
          <w:sz w:val="22"/>
          <w:szCs w:val="22"/>
          <w:lang w:eastAsia="cs-CZ"/>
        </w:rPr>
        <w:t xml:space="preserve"> vlastníkem 20% podílu</w:t>
      </w:r>
      <w:r w:rsidRPr="00AD0D2A">
        <w:rPr>
          <w:rFonts w:eastAsia="Times New Roman"/>
          <w:sz w:val="22"/>
          <w:szCs w:val="22"/>
          <w:lang w:eastAsia="cs-CZ"/>
        </w:rPr>
        <w:t xml:space="preserve">,“ </w:t>
      </w:r>
      <w:r>
        <w:rPr>
          <w:rFonts w:eastAsia="Times New Roman"/>
          <w:sz w:val="22"/>
          <w:szCs w:val="22"/>
          <w:lang w:eastAsia="cs-CZ"/>
        </w:rPr>
        <w:t>sdělil Jiří Hlaváč.</w:t>
      </w:r>
    </w:p>
    <w:p w:rsidRPr="00965886" w:rsidR="00AD0D2A" w:rsidP="00D93651" w:rsidRDefault="00AD0D2A" w14:paraId="04240750" w14:textId="77777777">
      <w:pPr>
        <w:pStyle w:val="Default"/>
        <w:spacing w:line="264" w:lineRule="auto"/>
        <w:jc w:val="both"/>
        <w:rPr>
          <w:rFonts w:eastAsia="Times New Roman"/>
          <w:sz w:val="22"/>
          <w:szCs w:val="22"/>
          <w:lang w:eastAsia="cs-CZ"/>
        </w:rPr>
      </w:pPr>
    </w:p>
    <w:p w:rsidRPr="00D23939" w:rsidR="00065420" w:rsidP="00D23939" w:rsidRDefault="00F41FA0" w14:paraId="5D07C4F5" w14:textId="7B2AFBE0">
      <w:pPr>
        <w:jc w:val="both"/>
        <w:rPr>
          <w:rFonts w:ascii="Arial" w:hAnsi="Arial" w:cs="Arial"/>
          <w:i/>
          <w:iCs/>
        </w:rPr>
      </w:pPr>
      <w:r w:rsidRPr="00F41FA0">
        <w:rPr>
          <w:rFonts w:ascii="Arial" w:hAnsi="Arial" w:cs="Arial"/>
          <w:i/>
          <w:iCs/>
        </w:rPr>
        <w:t>„</w:t>
      </w:r>
      <w:r w:rsidRPr="00D23939" w:rsidR="00D23939">
        <w:rPr>
          <w:rFonts w:ascii="Arial" w:hAnsi="Arial" w:cs="Arial"/>
          <w:i/>
          <w:iCs/>
        </w:rPr>
        <w:t>Pro investory jsou aktuálně atraktivní sektory počítačového softwaru, automatizace, digitalizace a robotizace či telekomunikací, zvýšená atraktivita zůstává v oblasti energetiky, zdravotnictví a finančních služeb. Situaci na M&amp;A trhu dále ovlivňuje konflikt na Ukrajině, který je pro potenciální investory pokračujícím omezením v podobě nejistoty budoucího vývoje v</w:t>
      </w:r>
      <w:r w:rsidR="00D23939">
        <w:rPr>
          <w:rFonts w:ascii="Arial" w:hAnsi="Arial" w:cs="Arial"/>
          <w:i/>
          <w:iCs/>
        </w:rPr>
        <w:t> </w:t>
      </w:r>
      <w:r w:rsidRPr="00D23939" w:rsidR="00D23939">
        <w:rPr>
          <w:rFonts w:ascii="Arial" w:hAnsi="Arial" w:cs="Arial"/>
          <w:i/>
          <w:iCs/>
        </w:rPr>
        <w:t>celém</w:t>
      </w:r>
      <w:r w:rsidR="00D23939">
        <w:rPr>
          <w:rFonts w:ascii="Arial" w:hAnsi="Arial" w:cs="Arial"/>
          <w:i/>
          <w:iCs/>
        </w:rPr>
        <w:t xml:space="preserve"> r</w:t>
      </w:r>
      <w:r w:rsidRPr="00D23939" w:rsidR="00D23939">
        <w:rPr>
          <w:rFonts w:ascii="Arial" w:hAnsi="Arial" w:cs="Arial"/>
          <w:i/>
          <w:iCs/>
        </w:rPr>
        <w:t>egionu</w:t>
      </w:r>
      <w:r w:rsidRPr="00F41FA0">
        <w:rPr>
          <w:rFonts w:ascii="Arial" w:hAnsi="Arial" w:cs="Arial"/>
          <w:i/>
          <w:iCs/>
        </w:rPr>
        <w:t xml:space="preserve">,“ </w:t>
      </w:r>
      <w:r w:rsidRPr="00F41FA0">
        <w:rPr>
          <w:rFonts w:ascii="Arial" w:hAnsi="Arial" w:cs="Arial"/>
        </w:rPr>
        <w:t>doplnil Hlaváč.</w:t>
      </w:r>
    </w:p>
    <w:p w:rsidRPr="00D23939" w:rsidR="00D23939" w:rsidP="00D23939" w:rsidRDefault="00D23939" w14:paraId="679045C7" w14:textId="1C11F29C">
      <w:pPr>
        <w:jc w:val="both"/>
        <w:rPr>
          <w:rFonts w:ascii="Arial" w:hAnsi="Arial" w:cs="Arial"/>
        </w:rPr>
      </w:pPr>
      <w:r w:rsidRPr="00D23939">
        <w:rPr>
          <w:rFonts w:ascii="Arial" w:hAnsi="Arial" w:cs="Arial"/>
        </w:rPr>
        <w:t xml:space="preserve">Ve srovnání s prvním čtvrtletím letošního roku v celém regionu klesl počet transakcí o devět. Naopak jejich objem stoupl o zhruba 6,8 miliardy eur. V Česku počet transakcí mezičtvrtletně klesl o 11 a objem o 1,3 miliardy eur (1,479 miliardy eur v 1. čtvrtletí 2024 vs. 207 milionů eur </w:t>
      </w:r>
      <w:r w:rsidRPr="00D23939">
        <w:rPr>
          <w:rFonts w:ascii="Arial" w:hAnsi="Arial" w:cs="Arial"/>
        </w:rPr>
        <w:lastRenderedPageBreak/>
        <w:t xml:space="preserve">v 2. čtvrtletí). </w:t>
      </w:r>
      <w:r w:rsidRPr="00D23939">
        <w:rPr>
          <w:rFonts w:ascii="Arial" w:hAnsi="Arial" w:cs="Arial"/>
          <w:i/>
          <w:iCs/>
        </w:rPr>
        <w:t xml:space="preserve">„Poklesu objemu transakcí v ČR ve srovnání s 1. čtvrtletím byl způsoben neobvykle velkou transakci v 1. čtvrtletí. Ta se týkala prodeje nadpolovičního podílu v plynárenské společnosti </w:t>
      </w:r>
      <w:proofErr w:type="spellStart"/>
      <w:r w:rsidRPr="00D23939">
        <w:rPr>
          <w:rFonts w:ascii="Arial" w:hAnsi="Arial" w:cs="Arial"/>
          <w:i/>
          <w:iCs/>
        </w:rPr>
        <w:t>GasNet</w:t>
      </w:r>
      <w:proofErr w:type="spellEnd"/>
      <w:r w:rsidRPr="00D23939">
        <w:rPr>
          <w:rFonts w:ascii="Arial" w:hAnsi="Arial" w:cs="Arial"/>
          <w:i/>
          <w:iCs/>
        </w:rPr>
        <w:t xml:space="preserve"> energetické společnosti ČEZ</w:t>
      </w:r>
      <w:r w:rsidR="001349D3">
        <w:rPr>
          <w:rFonts w:ascii="Arial" w:hAnsi="Arial" w:cs="Arial"/>
          <w:i/>
          <w:iCs/>
        </w:rPr>
        <w:t xml:space="preserve">. </w:t>
      </w:r>
      <w:r w:rsidRPr="001349D3" w:rsidR="001349D3">
        <w:rPr>
          <w:rFonts w:ascii="Arial" w:hAnsi="Arial" w:cs="Arial"/>
          <w:i/>
          <w:iCs/>
        </w:rPr>
        <w:t>Zatím se v ČR ani v CEE neprojevil očekávaný nárůst akviziční aktivity.</w:t>
      </w:r>
      <w:r w:rsidRPr="00D23939">
        <w:rPr>
          <w:rFonts w:ascii="Arial" w:hAnsi="Arial" w:cs="Arial"/>
          <w:i/>
          <w:iCs/>
        </w:rPr>
        <w:t>“</w:t>
      </w:r>
      <w:r w:rsidRPr="00D23939">
        <w:rPr>
          <w:rFonts w:ascii="Arial" w:hAnsi="Arial" w:cs="Arial"/>
        </w:rPr>
        <w:t xml:space="preserve"> upozornil </w:t>
      </w:r>
      <w:r>
        <w:rPr>
          <w:rFonts w:ascii="Arial" w:hAnsi="Arial" w:cs="Arial"/>
        </w:rPr>
        <w:t>Jiří Hlaváč.</w:t>
      </w:r>
    </w:p>
    <w:p w:rsidRPr="00F41FA0" w:rsidR="00F41FA0" w:rsidP="00F41FA0" w:rsidRDefault="00F41FA0" w14:paraId="548DCABA" w14:textId="77777777">
      <w:pPr>
        <w:rPr>
          <w:rFonts w:ascii="Arial" w:hAnsi="Arial" w:cs="Arial"/>
        </w:rPr>
      </w:pPr>
    </w:p>
    <w:p w:rsidR="00021254" w:rsidP="003916F2" w:rsidRDefault="00021254" w14:paraId="368A6582" w14:textId="77777777">
      <w:pPr>
        <w:pStyle w:val="F2-zkladn"/>
        <w:tabs>
          <w:tab w:val="right" w:pos="9070"/>
        </w:tabs>
        <w:spacing w:before="0" w:line="240" w:lineRule="auto"/>
        <w:rPr>
          <w:b/>
        </w:rPr>
      </w:pPr>
    </w:p>
    <w:p w:rsidRPr="007A39B8" w:rsidR="00EB1C5A" w:rsidP="007A39B8" w:rsidRDefault="00EB1C5A" w14:paraId="766502C4" w14:textId="77777777">
      <w:pPr>
        <w:pStyle w:val="F2-zkladn"/>
        <w:tabs>
          <w:tab w:val="right" w:pos="9070"/>
        </w:tabs>
        <w:spacing w:before="0" w:line="264" w:lineRule="auto"/>
        <w:rPr>
          <w:b/>
        </w:rPr>
      </w:pPr>
      <w:r w:rsidRPr="007A39B8">
        <w:rPr>
          <w:b/>
        </w:rPr>
        <w:t>Pro více informací kontaktujte:</w:t>
      </w:r>
    </w:p>
    <w:p w:rsidRPr="007A39B8" w:rsidR="00EB1C5A" w:rsidP="007A39B8" w:rsidRDefault="002A3294" w14:paraId="1C28118A" w14:textId="73FE04A0">
      <w:pPr>
        <w:spacing w:after="0" w:line="264" w:lineRule="auto"/>
        <w:rPr>
          <w:rFonts w:ascii="Arial" w:hAnsi="Arial" w:cs="Arial"/>
          <w:sz w:val="20"/>
          <w:szCs w:val="20"/>
        </w:rPr>
      </w:pPr>
      <w:r w:rsidRPr="007A39B8">
        <w:rPr>
          <w:rFonts w:ascii="Arial" w:hAnsi="Arial" w:cs="Arial"/>
          <w:sz w:val="20"/>
          <w:szCs w:val="20"/>
        </w:rPr>
        <w:t xml:space="preserve">Kamila </w:t>
      </w:r>
      <w:proofErr w:type="spellStart"/>
      <w:r w:rsidRPr="007A39B8">
        <w:rPr>
          <w:rFonts w:ascii="Arial" w:hAnsi="Arial" w:cs="Arial"/>
          <w:sz w:val="20"/>
          <w:szCs w:val="20"/>
        </w:rPr>
        <w:t>Žitnáková</w:t>
      </w:r>
      <w:proofErr w:type="spellEnd"/>
    </w:p>
    <w:p w:rsidRPr="007A39B8" w:rsidR="00EB1C5A" w:rsidP="007A39B8" w:rsidRDefault="00EB1C5A" w14:paraId="4835AA2F" w14:textId="77777777">
      <w:pPr>
        <w:spacing w:after="0" w:line="264" w:lineRule="auto"/>
        <w:rPr>
          <w:rFonts w:ascii="Arial" w:hAnsi="Arial" w:cs="Arial"/>
          <w:b/>
          <w:bCs/>
          <w:sz w:val="20"/>
          <w:szCs w:val="20"/>
        </w:rPr>
      </w:pPr>
      <w:proofErr w:type="spellStart"/>
      <w:r w:rsidRPr="007A39B8">
        <w:rPr>
          <w:rFonts w:ascii="Arial" w:hAnsi="Arial" w:cs="Arial"/>
          <w:b/>
          <w:bCs/>
          <w:sz w:val="20"/>
          <w:szCs w:val="20"/>
        </w:rPr>
        <w:t>Crest</w:t>
      </w:r>
      <w:proofErr w:type="spellEnd"/>
      <w:r w:rsidRPr="007A39B8">
        <w:rPr>
          <w:rFonts w:ascii="Arial" w:hAnsi="Arial" w:cs="Arial"/>
          <w:b/>
          <w:bCs/>
          <w:sz w:val="20"/>
          <w:szCs w:val="20"/>
        </w:rPr>
        <w:t xml:space="preserve"> Communications, a.s.</w:t>
      </w:r>
    </w:p>
    <w:p w:rsidRPr="007A39B8" w:rsidR="00EB1C5A" w:rsidP="007A39B8" w:rsidRDefault="00EB1C5A" w14:paraId="4DCE98C0" w14:textId="77777777">
      <w:pPr>
        <w:spacing w:after="0" w:line="264" w:lineRule="auto"/>
        <w:rPr>
          <w:rFonts w:ascii="Arial" w:hAnsi="Arial" w:cs="Arial"/>
          <w:sz w:val="20"/>
          <w:szCs w:val="20"/>
        </w:rPr>
      </w:pPr>
      <w:r w:rsidRPr="007A39B8">
        <w:rPr>
          <w:rFonts w:ascii="Arial" w:hAnsi="Arial" w:cs="Arial"/>
          <w:sz w:val="20"/>
          <w:szCs w:val="20"/>
        </w:rPr>
        <w:t>Ostrovní 126/30</w:t>
      </w:r>
    </w:p>
    <w:p w:rsidRPr="007A39B8" w:rsidR="00EB1C5A" w:rsidP="007A39B8" w:rsidRDefault="00EB1C5A" w14:paraId="09C6E920" w14:textId="77777777">
      <w:pPr>
        <w:spacing w:after="0" w:line="264" w:lineRule="auto"/>
        <w:rPr>
          <w:rFonts w:ascii="Arial" w:hAnsi="Arial" w:cs="Arial"/>
          <w:sz w:val="20"/>
          <w:szCs w:val="20"/>
        </w:rPr>
      </w:pPr>
      <w:r w:rsidRPr="007A39B8">
        <w:rPr>
          <w:rFonts w:ascii="Arial" w:hAnsi="Arial" w:cs="Arial"/>
          <w:sz w:val="20"/>
          <w:szCs w:val="20"/>
        </w:rPr>
        <w:t>110 00 Praha 1</w:t>
      </w:r>
    </w:p>
    <w:p w:rsidRPr="007A39B8" w:rsidR="00EB1C5A" w:rsidP="007A39B8" w:rsidRDefault="00EB1C5A" w14:paraId="2EEA2F44" w14:textId="5E276D42">
      <w:pPr>
        <w:spacing w:after="0" w:line="264" w:lineRule="auto"/>
        <w:rPr>
          <w:rFonts w:ascii="Arial" w:hAnsi="Arial" w:cs="Arial"/>
          <w:sz w:val="20"/>
          <w:szCs w:val="20"/>
        </w:rPr>
      </w:pPr>
      <w:proofErr w:type="spellStart"/>
      <w:r w:rsidRPr="007A39B8">
        <w:rPr>
          <w:rFonts w:ascii="Arial" w:hAnsi="Arial" w:cs="Arial"/>
          <w:sz w:val="20"/>
          <w:szCs w:val="20"/>
        </w:rPr>
        <w:t>gsm</w:t>
      </w:r>
      <w:proofErr w:type="spellEnd"/>
      <w:r w:rsidRPr="007A39B8">
        <w:rPr>
          <w:rFonts w:ascii="Arial" w:hAnsi="Arial" w:cs="Arial"/>
          <w:sz w:val="20"/>
          <w:szCs w:val="20"/>
        </w:rPr>
        <w:t xml:space="preserve">: + 420 </w:t>
      </w:r>
      <w:r w:rsidRPr="007A39B8" w:rsidR="003D5F96">
        <w:rPr>
          <w:rFonts w:ascii="Arial" w:hAnsi="Arial" w:cs="Arial"/>
          <w:sz w:val="20"/>
          <w:szCs w:val="20"/>
        </w:rPr>
        <w:t>725 544 106</w:t>
      </w:r>
    </w:p>
    <w:p w:rsidRPr="007A39B8" w:rsidR="00EB1C5A" w:rsidP="007A39B8" w:rsidRDefault="00BA7058" w14:paraId="692417D8" w14:textId="77777777">
      <w:pPr>
        <w:spacing w:after="0" w:line="264" w:lineRule="auto"/>
        <w:rPr>
          <w:rFonts w:ascii="Arial" w:hAnsi="Arial" w:cs="Arial"/>
          <w:sz w:val="20"/>
          <w:szCs w:val="20"/>
        </w:rPr>
      </w:pPr>
      <w:hyperlink w:tooltip="blocked::http://www.crestcom.cz&#10;http://www.crestcom.cz/" w:history="1">
        <w:r w:rsidRPr="007A39B8" w:rsidR="00EB1C5A">
          <w:rPr>
            <w:rStyle w:val="Hypertextovodkaz"/>
            <w:rFonts w:ascii="Arial" w:hAnsi="Arial" w:cs="Arial"/>
            <w:color w:val="990033"/>
            <w:sz w:val="20"/>
            <w:szCs w:val="20"/>
          </w:rPr>
          <w:t>www.crestcom.cz</w:t>
        </w:r>
      </w:hyperlink>
    </w:p>
    <w:p w:rsidRPr="007A39B8" w:rsidR="00316D20" w:rsidP="007A39B8" w:rsidRDefault="00EB1C5A" w14:paraId="28B3B900" w14:textId="5CDD139B">
      <w:pPr>
        <w:spacing w:after="0" w:line="264" w:lineRule="auto"/>
        <w:rPr>
          <w:rStyle w:val="Hypertextovodkaz"/>
          <w:rFonts w:ascii="Arial" w:hAnsi="Arial" w:cs="Arial"/>
          <w:color w:val="990033"/>
          <w:sz w:val="20"/>
          <w:szCs w:val="20"/>
        </w:rPr>
      </w:pPr>
      <w:r w:rsidRPr="007A39B8">
        <w:rPr>
          <w:rFonts w:ascii="Arial" w:hAnsi="Arial" w:cs="Arial"/>
          <w:color w:val="000000"/>
          <w:sz w:val="20"/>
          <w:szCs w:val="20"/>
        </w:rPr>
        <w:t xml:space="preserve">e-mail: </w:t>
      </w:r>
      <w:hyperlink w:history="1" r:id="rId10">
        <w:r w:rsidRPr="007A39B8" w:rsidR="002A3294">
          <w:rPr>
            <w:rStyle w:val="Hypertextovodkaz"/>
            <w:rFonts w:ascii="Arial" w:hAnsi="Arial" w:cs="Arial"/>
            <w:sz w:val="20"/>
            <w:szCs w:val="20"/>
          </w:rPr>
          <w:t>kamila.zitnakova@crestcom.cz</w:t>
        </w:r>
      </w:hyperlink>
    </w:p>
    <w:p w:rsidR="002A3294" w:rsidP="007A39B8" w:rsidRDefault="002A3294" w14:paraId="0C9BF7BF" w14:textId="77777777">
      <w:pPr>
        <w:spacing w:after="0" w:line="264" w:lineRule="auto"/>
        <w:rPr>
          <w:rStyle w:val="Hypertextovodkaz"/>
          <w:rFonts w:ascii="Arial" w:hAnsi="Arial" w:cs="Arial"/>
          <w:color w:val="990033"/>
          <w:sz w:val="20"/>
          <w:szCs w:val="20"/>
        </w:rPr>
      </w:pPr>
    </w:p>
    <w:p w:rsidRPr="007A39B8" w:rsidR="007A39B8" w:rsidP="007A39B8" w:rsidRDefault="007A39B8" w14:paraId="02B11144" w14:textId="77777777">
      <w:pPr>
        <w:spacing w:after="0" w:line="264" w:lineRule="auto"/>
        <w:rPr>
          <w:rStyle w:val="Hypertextovodkaz"/>
          <w:rFonts w:ascii="Arial" w:hAnsi="Arial" w:cs="Arial"/>
          <w:color w:val="990033"/>
          <w:sz w:val="20"/>
          <w:szCs w:val="20"/>
        </w:rPr>
      </w:pPr>
    </w:p>
    <w:p w:rsidRPr="007A39B8" w:rsidR="005A2DC0" w:rsidP="007A39B8" w:rsidRDefault="00EB1C5A" w14:paraId="11CCEE53" w14:textId="77777777">
      <w:pPr>
        <w:spacing w:after="0" w:line="264" w:lineRule="auto"/>
        <w:rPr>
          <w:rFonts w:ascii="Arial" w:hAnsi="Arial" w:cs="Arial"/>
          <w:sz w:val="20"/>
          <w:szCs w:val="20"/>
        </w:rPr>
      </w:pPr>
      <w:r w:rsidRPr="007A39B8">
        <w:rPr>
          <w:rFonts w:ascii="Arial" w:hAnsi="Arial" w:cs="Arial"/>
          <w:b/>
          <w:sz w:val="20"/>
          <w:szCs w:val="20"/>
        </w:rPr>
        <w:t>Informace pro editory:</w:t>
      </w:r>
    </w:p>
    <w:p w:rsidRPr="007A39B8" w:rsidR="005A2DC0" w:rsidP="007A39B8" w:rsidRDefault="005A2DC0" w14:paraId="7DDF97E7" w14:textId="77777777">
      <w:pPr>
        <w:pStyle w:val="F2-zkladn"/>
        <w:spacing w:before="0" w:line="264" w:lineRule="auto"/>
        <w:rPr>
          <w:b/>
        </w:rPr>
      </w:pPr>
    </w:p>
    <w:p w:rsidR="00EB1C5A" w:rsidP="007A39B8" w:rsidRDefault="00EB1C5A" w14:paraId="05D36A23" w14:textId="77777777">
      <w:pPr>
        <w:pStyle w:val="F2-zkladn"/>
        <w:spacing w:before="0" w:line="264" w:lineRule="auto"/>
      </w:pPr>
      <w:r w:rsidRPr="007A39B8">
        <w:t xml:space="preserve">Skupina </w:t>
      </w:r>
      <w:r w:rsidRPr="007A39B8">
        <w:rPr>
          <w:b/>
        </w:rPr>
        <w:t>TPA Group</w:t>
      </w:r>
      <w:r w:rsidRPr="007A39B8">
        <w:t xml:space="preserve"> poskytuje v České republice své služby od roku </w:t>
      </w:r>
      <w:smartTag w:uri="urn:schemas-microsoft-com:office:smarttags" w:element="metricconverter">
        <w:smartTagPr>
          <w:attr w:name="ProductID" w:val="1993 a"/>
        </w:smartTagPr>
        <w:r w:rsidRPr="007A39B8">
          <w:t>1993 a</w:t>
        </w:r>
      </w:smartTag>
      <w:r w:rsidRPr="007A39B8">
        <w:t xml:space="preserve"> působí celkem v</w:t>
      </w:r>
      <w:r w:rsidRPr="007A39B8" w:rsidR="00483CC4">
        <w:t>e dvanácti</w:t>
      </w:r>
      <w:r w:rsidRPr="007A39B8">
        <w:t xml:space="preserve"> zemích střední a jihovýchodní Evropy. </w:t>
      </w:r>
      <w:r w:rsidRPr="007A39B8" w:rsidR="009B0DF4">
        <w:t xml:space="preserve">Poskytuje služby zejména v oblastech daňově poradenství, vedení účetnictví, auditu, oceňování a poradenství při akvizicích. </w:t>
      </w:r>
      <w:r w:rsidRPr="007A39B8">
        <w:t xml:space="preserve"> Zaměřuje se především na korporátní klienty podnikající na mezinárodní úrovni v oblasti střední a jihovýchodní Evropy. Skupina TPA Group je nezávislým členem aliance</w:t>
      </w:r>
      <w:r w:rsidRPr="007A39B8">
        <w:rPr>
          <w:b/>
        </w:rPr>
        <w:t xml:space="preserve"> </w:t>
      </w:r>
      <w:proofErr w:type="spellStart"/>
      <w:r w:rsidRPr="007A39B8">
        <w:rPr>
          <w:b/>
        </w:rPr>
        <w:t>Baker</w:t>
      </w:r>
      <w:proofErr w:type="spellEnd"/>
      <w:r w:rsidRPr="007A39B8">
        <w:rPr>
          <w:b/>
        </w:rPr>
        <w:t xml:space="preserve"> </w:t>
      </w:r>
      <w:proofErr w:type="spellStart"/>
      <w:r w:rsidRPr="007A39B8">
        <w:rPr>
          <w:b/>
        </w:rPr>
        <w:t>Tilly</w:t>
      </w:r>
      <w:proofErr w:type="spellEnd"/>
      <w:r w:rsidRPr="007A39B8">
        <w:rPr>
          <w:b/>
        </w:rPr>
        <w:t xml:space="preserve"> </w:t>
      </w:r>
      <w:proofErr w:type="spellStart"/>
      <w:r w:rsidRPr="007A39B8">
        <w:rPr>
          <w:b/>
        </w:rPr>
        <w:t>Europe</w:t>
      </w:r>
      <w:proofErr w:type="spellEnd"/>
      <w:r w:rsidRPr="007A39B8">
        <w:rPr>
          <w:b/>
        </w:rPr>
        <w:t xml:space="preserve"> </w:t>
      </w:r>
      <w:proofErr w:type="spellStart"/>
      <w:r w:rsidRPr="007A39B8">
        <w:rPr>
          <w:b/>
        </w:rPr>
        <w:t>Alliance</w:t>
      </w:r>
      <w:proofErr w:type="spellEnd"/>
      <w:r w:rsidRPr="007A39B8">
        <w:t xml:space="preserve">, jejímiž dalšími členy je celosvětová poradenská síť </w:t>
      </w:r>
      <w:hyperlink w:history="1" r:id="rId11">
        <w:proofErr w:type="spellStart"/>
        <w:r w:rsidRPr="007A39B8">
          <w:rPr>
            <w:rStyle w:val="Hypertextovodkaz"/>
            <w:b/>
          </w:rPr>
          <w:t>Baker</w:t>
        </w:r>
        <w:proofErr w:type="spellEnd"/>
        <w:r w:rsidRPr="007A39B8">
          <w:rPr>
            <w:rStyle w:val="Hypertextovodkaz"/>
            <w:b/>
          </w:rPr>
          <w:t xml:space="preserve"> </w:t>
        </w:r>
        <w:proofErr w:type="spellStart"/>
        <w:r w:rsidRPr="007A39B8">
          <w:rPr>
            <w:rStyle w:val="Hypertextovodkaz"/>
            <w:b/>
          </w:rPr>
          <w:t>Tilly</w:t>
        </w:r>
        <w:proofErr w:type="spellEnd"/>
        <w:r w:rsidRPr="007A39B8">
          <w:rPr>
            <w:rStyle w:val="Hypertextovodkaz"/>
            <w:b/>
          </w:rPr>
          <w:t xml:space="preserve"> International</w:t>
        </w:r>
      </w:hyperlink>
      <w:r w:rsidRPr="007A39B8">
        <w:t xml:space="preserve"> a samostatný člen </w:t>
      </w:r>
      <w:proofErr w:type="spellStart"/>
      <w:r w:rsidRPr="007A39B8">
        <w:t>Baker</w:t>
      </w:r>
      <w:proofErr w:type="spellEnd"/>
      <w:r w:rsidRPr="007A39B8">
        <w:t xml:space="preserve"> </w:t>
      </w:r>
      <w:proofErr w:type="spellStart"/>
      <w:r w:rsidRPr="007A39B8">
        <w:t>Tilly</w:t>
      </w:r>
      <w:proofErr w:type="spellEnd"/>
      <w:r w:rsidRPr="007A39B8">
        <w:t xml:space="preserve"> International, </w:t>
      </w:r>
      <w:hyperlink w:history="1" r:id="rId12">
        <w:proofErr w:type="spellStart"/>
        <w:r w:rsidRPr="007A39B8" w:rsidR="00433B9A">
          <w:rPr>
            <w:rStyle w:val="Hypertextovodkaz"/>
            <w:b/>
          </w:rPr>
          <w:t>Baker</w:t>
        </w:r>
        <w:proofErr w:type="spellEnd"/>
        <w:r w:rsidRPr="007A39B8" w:rsidR="00433B9A">
          <w:rPr>
            <w:rStyle w:val="Hypertextovodkaz"/>
            <w:b/>
          </w:rPr>
          <w:t xml:space="preserve"> </w:t>
        </w:r>
        <w:proofErr w:type="spellStart"/>
        <w:r w:rsidRPr="007A39B8" w:rsidR="00433B9A">
          <w:rPr>
            <w:rStyle w:val="Hypertextovodkaz"/>
            <w:b/>
          </w:rPr>
          <w:t>Tilly</w:t>
        </w:r>
        <w:proofErr w:type="spellEnd"/>
      </w:hyperlink>
      <w:r w:rsidRPr="007A39B8">
        <w:t xml:space="preserve"> v Německu. Díky členství v </w:t>
      </w:r>
      <w:proofErr w:type="spellStart"/>
      <w:r w:rsidRPr="007A39B8">
        <w:t>Baker</w:t>
      </w:r>
      <w:proofErr w:type="spellEnd"/>
      <w:r w:rsidRPr="007A39B8">
        <w:t xml:space="preserve"> </w:t>
      </w:r>
      <w:proofErr w:type="spellStart"/>
      <w:r w:rsidRPr="007A39B8">
        <w:t>Tilly</w:t>
      </w:r>
      <w:proofErr w:type="spellEnd"/>
      <w:r w:rsidRPr="007A39B8">
        <w:t xml:space="preserve"> </w:t>
      </w:r>
      <w:proofErr w:type="spellStart"/>
      <w:r w:rsidRPr="007A39B8">
        <w:t>Europe</w:t>
      </w:r>
      <w:proofErr w:type="spellEnd"/>
      <w:r w:rsidRPr="007A39B8">
        <w:t xml:space="preserve"> </w:t>
      </w:r>
      <w:proofErr w:type="spellStart"/>
      <w:r w:rsidRPr="007A39B8">
        <w:t>Allience</w:t>
      </w:r>
      <w:proofErr w:type="spellEnd"/>
      <w:r w:rsidRPr="007A39B8">
        <w:t xml:space="preserve"> nabízí skupina TPA Group svým klientům služby globální sítě </w:t>
      </w:r>
      <w:proofErr w:type="spellStart"/>
      <w:r w:rsidRPr="007A39B8">
        <w:t>Baker</w:t>
      </w:r>
      <w:proofErr w:type="spellEnd"/>
      <w:r w:rsidRPr="007A39B8">
        <w:t xml:space="preserve"> </w:t>
      </w:r>
      <w:proofErr w:type="spellStart"/>
      <w:r w:rsidRPr="007A39B8">
        <w:t>Tilly</w:t>
      </w:r>
      <w:proofErr w:type="spellEnd"/>
      <w:r w:rsidRPr="007A39B8">
        <w:t xml:space="preserve"> International, která patří do první desítky celosvětových poradenských sítí. </w:t>
      </w:r>
    </w:p>
    <w:p w:rsidRPr="007A39B8" w:rsidR="00BA2004" w:rsidP="007A39B8" w:rsidRDefault="00BA2004" w14:paraId="24B4D0B6" w14:textId="77777777">
      <w:pPr>
        <w:pStyle w:val="F2-zkladn"/>
        <w:spacing w:before="0" w:line="264" w:lineRule="auto"/>
      </w:pPr>
    </w:p>
    <w:p w:rsidR="001272D9" w:rsidRDefault="001272D9" w14:paraId="1A9B85E0" w14:textId="01DD576C"/>
    <w:sectPr w:rsidR="001272D9" w:rsidSect="00FD0701">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orient="portrait"/>
      <w:pgMar w:top="1417" w:right="1417" w:bottom="1417" w:left="1417" w:header="16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66EC" w:rsidP="00087B0F" w:rsidRDefault="00DC66EC" w14:paraId="37BE3B3F" w14:textId="77777777">
      <w:pPr>
        <w:spacing w:after="0" w:line="240" w:lineRule="auto"/>
      </w:pPr>
      <w:r>
        <w:separator/>
      </w:r>
    </w:p>
  </w:endnote>
  <w:endnote w:type="continuationSeparator" w:id="0">
    <w:p w:rsidR="00DC66EC" w:rsidP="00087B0F" w:rsidRDefault="00DC66EC" w14:paraId="781B34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1FE0" w:rsidRDefault="00A71FE0" w14:paraId="4264C443" w14:textId="777777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1FE0" w:rsidRDefault="00A71FE0" w14:paraId="1B7E5DD5" w14:textId="7777777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1FE0" w:rsidRDefault="00A71FE0" w14:paraId="689B939D"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66EC" w:rsidP="00087B0F" w:rsidRDefault="00DC66EC" w14:paraId="38696EE3" w14:textId="77777777">
      <w:pPr>
        <w:spacing w:after="0" w:line="240" w:lineRule="auto"/>
      </w:pPr>
      <w:r>
        <w:separator/>
      </w:r>
    </w:p>
  </w:footnote>
  <w:footnote w:type="continuationSeparator" w:id="0">
    <w:p w:rsidR="00DC66EC" w:rsidP="00087B0F" w:rsidRDefault="00DC66EC" w14:paraId="22BD29C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1FE0" w:rsidRDefault="00A71FE0" w14:paraId="542797B2" w14:textId="777777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04800" w:rsidRDefault="004432AB" w14:paraId="4E54D380" w14:textId="77777777">
    <w:pPr>
      <w:pStyle w:val="Zhlav"/>
    </w:pPr>
    <w:r>
      <w:rPr>
        <w:noProof/>
        <w:lang w:eastAsia="cs-CZ"/>
      </w:rPr>
      <w:drawing>
        <wp:anchor distT="0" distB="0" distL="114300" distR="114300" simplePos="0" relativeHeight="251657728" behindDoc="0" locked="0" layoutInCell="1" allowOverlap="1" wp14:anchorId="07FBAF7B" wp14:editId="5D87AFFD">
          <wp:simplePos x="0" y="0"/>
          <wp:positionH relativeFrom="margin">
            <wp:posOffset>4303395</wp:posOffset>
          </wp:positionH>
          <wp:positionV relativeFrom="margin">
            <wp:posOffset>-1171575</wp:posOffset>
          </wp:positionV>
          <wp:extent cx="1490980" cy="110998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980" cy="1109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1FE0" w:rsidRDefault="00A71FE0" w14:paraId="5F15BE73" w14:textId="7777777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0F"/>
    <w:rsid w:val="00021254"/>
    <w:rsid w:val="00024EB1"/>
    <w:rsid w:val="00034EAB"/>
    <w:rsid w:val="000474F2"/>
    <w:rsid w:val="0005087E"/>
    <w:rsid w:val="00056B71"/>
    <w:rsid w:val="00065420"/>
    <w:rsid w:val="00072CA9"/>
    <w:rsid w:val="00087B0F"/>
    <w:rsid w:val="000A2944"/>
    <w:rsid w:val="000B1F52"/>
    <w:rsid w:val="000F648D"/>
    <w:rsid w:val="001272D9"/>
    <w:rsid w:val="001349D3"/>
    <w:rsid w:val="00147AAD"/>
    <w:rsid w:val="001514D6"/>
    <w:rsid w:val="001643CE"/>
    <w:rsid w:val="001665B3"/>
    <w:rsid w:val="001833EC"/>
    <w:rsid w:val="00190F27"/>
    <w:rsid w:val="001B248E"/>
    <w:rsid w:val="001C0CE4"/>
    <w:rsid w:val="001F387C"/>
    <w:rsid w:val="001F501D"/>
    <w:rsid w:val="002212EA"/>
    <w:rsid w:val="0022496F"/>
    <w:rsid w:val="002467AC"/>
    <w:rsid w:val="002468A7"/>
    <w:rsid w:val="0025133B"/>
    <w:rsid w:val="0027105E"/>
    <w:rsid w:val="002948D0"/>
    <w:rsid w:val="002A3294"/>
    <w:rsid w:val="002A7D37"/>
    <w:rsid w:val="002D4C48"/>
    <w:rsid w:val="002E39E1"/>
    <w:rsid w:val="00302ABC"/>
    <w:rsid w:val="0030704F"/>
    <w:rsid w:val="00307EBA"/>
    <w:rsid w:val="003143B9"/>
    <w:rsid w:val="00316D20"/>
    <w:rsid w:val="003371D5"/>
    <w:rsid w:val="00381597"/>
    <w:rsid w:val="00385385"/>
    <w:rsid w:val="003916F2"/>
    <w:rsid w:val="003B5AE8"/>
    <w:rsid w:val="003D33AF"/>
    <w:rsid w:val="003D5F96"/>
    <w:rsid w:val="004010C0"/>
    <w:rsid w:val="00410BBE"/>
    <w:rsid w:val="00414BA1"/>
    <w:rsid w:val="00415AAB"/>
    <w:rsid w:val="004321DB"/>
    <w:rsid w:val="00433B9A"/>
    <w:rsid w:val="004432AB"/>
    <w:rsid w:val="00474216"/>
    <w:rsid w:val="00483CC4"/>
    <w:rsid w:val="00494A82"/>
    <w:rsid w:val="00494D1A"/>
    <w:rsid w:val="004C261B"/>
    <w:rsid w:val="004D4BBC"/>
    <w:rsid w:val="004E2B60"/>
    <w:rsid w:val="004F1F03"/>
    <w:rsid w:val="0051646C"/>
    <w:rsid w:val="005318CD"/>
    <w:rsid w:val="0053615C"/>
    <w:rsid w:val="005500FE"/>
    <w:rsid w:val="005744B2"/>
    <w:rsid w:val="00590F8E"/>
    <w:rsid w:val="005A2487"/>
    <w:rsid w:val="005A2DC0"/>
    <w:rsid w:val="006271A1"/>
    <w:rsid w:val="00643BFA"/>
    <w:rsid w:val="00650005"/>
    <w:rsid w:val="00667056"/>
    <w:rsid w:val="00677F43"/>
    <w:rsid w:val="006A65B5"/>
    <w:rsid w:val="006A7542"/>
    <w:rsid w:val="006B531A"/>
    <w:rsid w:val="006D4648"/>
    <w:rsid w:val="006D4B45"/>
    <w:rsid w:val="006E6C5B"/>
    <w:rsid w:val="006F39F5"/>
    <w:rsid w:val="00704800"/>
    <w:rsid w:val="00732B15"/>
    <w:rsid w:val="00734F7E"/>
    <w:rsid w:val="00735B2F"/>
    <w:rsid w:val="0075184E"/>
    <w:rsid w:val="00756665"/>
    <w:rsid w:val="00764026"/>
    <w:rsid w:val="00784698"/>
    <w:rsid w:val="00792360"/>
    <w:rsid w:val="007A39B8"/>
    <w:rsid w:val="007B4CB7"/>
    <w:rsid w:val="007B5B26"/>
    <w:rsid w:val="007B5F1E"/>
    <w:rsid w:val="007C65E0"/>
    <w:rsid w:val="007C74F1"/>
    <w:rsid w:val="007D4CFC"/>
    <w:rsid w:val="007E1A19"/>
    <w:rsid w:val="00820D1C"/>
    <w:rsid w:val="008A6922"/>
    <w:rsid w:val="008C35C6"/>
    <w:rsid w:val="008D2CED"/>
    <w:rsid w:val="008D30B5"/>
    <w:rsid w:val="008E0CBB"/>
    <w:rsid w:val="00911D3B"/>
    <w:rsid w:val="009312EA"/>
    <w:rsid w:val="009448BF"/>
    <w:rsid w:val="00965886"/>
    <w:rsid w:val="00965982"/>
    <w:rsid w:val="00976D76"/>
    <w:rsid w:val="0099767A"/>
    <w:rsid w:val="00997BD4"/>
    <w:rsid w:val="009A0B16"/>
    <w:rsid w:val="009B0DF4"/>
    <w:rsid w:val="009F5D62"/>
    <w:rsid w:val="009F6061"/>
    <w:rsid w:val="00A03AEB"/>
    <w:rsid w:val="00A71FE0"/>
    <w:rsid w:val="00A74319"/>
    <w:rsid w:val="00A75E11"/>
    <w:rsid w:val="00A77597"/>
    <w:rsid w:val="00AA1EC4"/>
    <w:rsid w:val="00AA2DB4"/>
    <w:rsid w:val="00AD0D2A"/>
    <w:rsid w:val="00AD6570"/>
    <w:rsid w:val="00AE3FEF"/>
    <w:rsid w:val="00AF63E5"/>
    <w:rsid w:val="00B121F9"/>
    <w:rsid w:val="00B47281"/>
    <w:rsid w:val="00B66D84"/>
    <w:rsid w:val="00BA2004"/>
    <w:rsid w:val="00BA7058"/>
    <w:rsid w:val="00BB2F4F"/>
    <w:rsid w:val="00BC4A3D"/>
    <w:rsid w:val="00BD2839"/>
    <w:rsid w:val="00BE16A9"/>
    <w:rsid w:val="00BF7D01"/>
    <w:rsid w:val="00C27561"/>
    <w:rsid w:val="00C43F8F"/>
    <w:rsid w:val="00CC1656"/>
    <w:rsid w:val="00CD0F82"/>
    <w:rsid w:val="00CD249C"/>
    <w:rsid w:val="00D01576"/>
    <w:rsid w:val="00D04011"/>
    <w:rsid w:val="00D23939"/>
    <w:rsid w:val="00D26944"/>
    <w:rsid w:val="00D4284D"/>
    <w:rsid w:val="00D579C4"/>
    <w:rsid w:val="00D67270"/>
    <w:rsid w:val="00D72C84"/>
    <w:rsid w:val="00D73B92"/>
    <w:rsid w:val="00D74683"/>
    <w:rsid w:val="00D93651"/>
    <w:rsid w:val="00DA18DA"/>
    <w:rsid w:val="00DB6D1B"/>
    <w:rsid w:val="00DC112F"/>
    <w:rsid w:val="00DC66EC"/>
    <w:rsid w:val="00DD06BF"/>
    <w:rsid w:val="00DF5919"/>
    <w:rsid w:val="00DF7E3A"/>
    <w:rsid w:val="00E20A11"/>
    <w:rsid w:val="00E62DFE"/>
    <w:rsid w:val="00E97493"/>
    <w:rsid w:val="00EA436F"/>
    <w:rsid w:val="00EB1C5A"/>
    <w:rsid w:val="00ED4CF4"/>
    <w:rsid w:val="00F00E13"/>
    <w:rsid w:val="00F230EE"/>
    <w:rsid w:val="00F32BD2"/>
    <w:rsid w:val="00F41FA0"/>
    <w:rsid w:val="00F80911"/>
    <w:rsid w:val="00FD0701"/>
    <w:rsid w:val="00FE255D"/>
    <w:rsid w:val="0239750A"/>
    <w:rsid w:val="024FA9DA"/>
    <w:rsid w:val="026A6F84"/>
    <w:rsid w:val="02C5C4BA"/>
    <w:rsid w:val="039DD79F"/>
    <w:rsid w:val="03CB2327"/>
    <w:rsid w:val="04063FE5"/>
    <w:rsid w:val="044554D7"/>
    <w:rsid w:val="061501E2"/>
    <w:rsid w:val="06AE04F5"/>
    <w:rsid w:val="06D76539"/>
    <w:rsid w:val="06DC7D90"/>
    <w:rsid w:val="0702C3E9"/>
    <w:rsid w:val="07130723"/>
    <w:rsid w:val="08049A85"/>
    <w:rsid w:val="0A046E03"/>
    <w:rsid w:val="0A516C91"/>
    <w:rsid w:val="0A56F19F"/>
    <w:rsid w:val="0B427BBE"/>
    <w:rsid w:val="0C2C7BDA"/>
    <w:rsid w:val="0CF067FA"/>
    <w:rsid w:val="0D23EB31"/>
    <w:rsid w:val="0D85A985"/>
    <w:rsid w:val="0D890D53"/>
    <w:rsid w:val="0D8E9261"/>
    <w:rsid w:val="0DA10B06"/>
    <w:rsid w:val="0DB0DAD7"/>
    <w:rsid w:val="0F24DDB4"/>
    <w:rsid w:val="11323DC9"/>
    <w:rsid w:val="11C053D4"/>
    <w:rsid w:val="11E3B63F"/>
    <w:rsid w:val="133C96C0"/>
    <w:rsid w:val="137F86A0"/>
    <w:rsid w:val="13F663EB"/>
    <w:rsid w:val="14920391"/>
    <w:rsid w:val="1498C807"/>
    <w:rsid w:val="149E408F"/>
    <w:rsid w:val="151B5701"/>
    <w:rsid w:val="158504D8"/>
    <w:rsid w:val="15861CC3"/>
    <w:rsid w:val="1597C8AE"/>
    <w:rsid w:val="15CB354F"/>
    <w:rsid w:val="1619BCF7"/>
    <w:rsid w:val="1624654F"/>
    <w:rsid w:val="16B72762"/>
    <w:rsid w:val="17925970"/>
    <w:rsid w:val="1A09D6B1"/>
    <w:rsid w:val="1CFD05CD"/>
    <w:rsid w:val="1E91ED59"/>
    <w:rsid w:val="1FCF06F6"/>
    <w:rsid w:val="20676E1F"/>
    <w:rsid w:val="2081DB9E"/>
    <w:rsid w:val="213A9D77"/>
    <w:rsid w:val="21B6F183"/>
    <w:rsid w:val="21D220E9"/>
    <w:rsid w:val="2559AC75"/>
    <w:rsid w:val="25D060C8"/>
    <w:rsid w:val="25E70183"/>
    <w:rsid w:val="269E9D6D"/>
    <w:rsid w:val="26F0473F"/>
    <w:rsid w:val="27B88392"/>
    <w:rsid w:val="2808C856"/>
    <w:rsid w:val="28468436"/>
    <w:rsid w:val="2A27E801"/>
    <w:rsid w:val="2AB0D8C5"/>
    <w:rsid w:val="2BA37ED6"/>
    <w:rsid w:val="2BC3B862"/>
    <w:rsid w:val="2BCA5C77"/>
    <w:rsid w:val="2D3F4F37"/>
    <w:rsid w:val="2DF35B6A"/>
    <w:rsid w:val="2EBA6F57"/>
    <w:rsid w:val="2F90391C"/>
    <w:rsid w:val="3211BBAF"/>
    <w:rsid w:val="33576D49"/>
    <w:rsid w:val="338F62FE"/>
    <w:rsid w:val="368BE702"/>
    <w:rsid w:val="36C5D1A3"/>
    <w:rsid w:val="37EA4696"/>
    <w:rsid w:val="37F82A2B"/>
    <w:rsid w:val="3827B763"/>
    <w:rsid w:val="383903CB"/>
    <w:rsid w:val="38785213"/>
    <w:rsid w:val="39DA8FAA"/>
    <w:rsid w:val="3AC8D2A1"/>
    <w:rsid w:val="3DB991FF"/>
    <w:rsid w:val="3F2C8302"/>
    <w:rsid w:val="3F9D8B55"/>
    <w:rsid w:val="40E08CF3"/>
    <w:rsid w:val="41D101FA"/>
    <w:rsid w:val="423EC8DD"/>
    <w:rsid w:val="42F2394B"/>
    <w:rsid w:val="4301EB23"/>
    <w:rsid w:val="435F4054"/>
    <w:rsid w:val="43D3917C"/>
    <w:rsid w:val="449DBB84"/>
    <w:rsid w:val="456239FE"/>
    <w:rsid w:val="45A79B91"/>
    <w:rsid w:val="48A55F41"/>
    <w:rsid w:val="4AC1D451"/>
    <w:rsid w:val="4BE28462"/>
    <w:rsid w:val="4D4FA171"/>
    <w:rsid w:val="4E71413D"/>
    <w:rsid w:val="4F582A0F"/>
    <w:rsid w:val="50519165"/>
    <w:rsid w:val="507DE2B2"/>
    <w:rsid w:val="509F80CC"/>
    <w:rsid w:val="50B2ABFC"/>
    <w:rsid w:val="5184E352"/>
    <w:rsid w:val="5219B313"/>
    <w:rsid w:val="5239B5B1"/>
    <w:rsid w:val="52E14C6A"/>
    <w:rsid w:val="5365FA19"/>
    <w:rsid w:val="54C14231"/>
    <w:rsid w:val="55517EB9"/>
    <w:rsid w:val="57025B1C"/>
    <w:rsid w:val="574DCD63"/>
    <w:rsid w:val="58803E62"/>
    <w:rsid w:val="5948F6BA"/>
    <w:rsid w:val="595CF70E"/>
    <w:rsid w:val="59BEF68A"/>
    <w:rsid w:val="5B0BF1AE"/>
    <w:rsid w:val="5C12BFD7"/>
    <w:rsid w:val="5CF2FB64"/>
    <w:rsid w:val="5DABD8EA"/>
    <w:rsid w:val="5DDCD4EF"/>
    <w:rsid w:val="5F22C876"/>
    <w:rsid w:val="5F4262A1"/>
    <w:rsid w:val="5F96C9E2"/>
    <w:rsid w:val="603620A7"/>
    <w:rsid w:val="614198F8"/>
    <w:rsid w:val="616E8CBA"/>
    <w:rsid w:val="625BE913"/>
    <w:rsid w:val="6716E0B7"/>
    <w:rsid w:val="68B2B118"/>
    <w:rsid w:val="69249BAF"/>
    <w:rsid w:val="69338280"/>
    <w:rsid w:val="6AC5F9FD"/>
    <w:rsid w:val="6AE677CF"/>
    <w:rsid w:val="6BD301EF"/>
    <w:rsid w:val="6BD7B542"/>
    <w:rsid w:val="6C9011C9"/>
    <w:rsid w:val="6CBDCFBB"/>
    <w:rsid w:val="6D1443EB"/>
    <w:rsid w:val="6D44F48A"/>
    <w:rsid w:val="6E1A5989"/>
    <w:rsid w:val="6EDA87A2"/>
    <w:rsid w:val="6F1B5F1C"/>
    <w:rsid w:val="714D0E33"/>
    <w:rsid w:val="7340AE06"/>
    <w:rsid w:val="74A41C1E"/>
    <w:rsid w:val="74F16EB6"/>
    <w:rsid w:val="75780BC3"/>
    <w:rsid w:val="75C757B5"/>
    <w:rsid w:val="76A26285"/>
    <w:rsid w:val="77751B1B"/>
    <w:rsid w:val="77E7BF1A"/>
    <w:rsid w:val="789DD256"/>
    <w:rsid w:val="7A56B738"/>
    <w:rsid w:val="7A9EC4E7"/>
    <w:rsid w:val="7B3394A8"/>
    <w:rsid w:val="7B72F05E"/>
    <w:rsid w:val="7C13742E"/>
    <w:rsid w:val="7C25CE9C"/>
    <w:rsid w:val="7DA8AFEC"/>
    <w:rsid w:val="7EEC21A4"/>
    <w:rsid w:val="7EF7B203"/>
    <w:rsid w:val="7FA497D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E48A7B5"/>
  <w15:chartTrackingRefBased/>
  <w15:docId w15:val="{CB94C65A-AEAA-42C2-B1E6-20340A8E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pPr>
      <w:spacing w:after="160" w:line="259" w:lineRule="auto"/>
    </w:pPr>
    <w:rPr>
      <w:sz w:val="22"/>
      <w:szCs w:val="22"/>
      <w:lang w:eastAsia="en-US"/>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087B0F"/>
    <w:pPr>
      <w:tabs>
        <w:tab w:val="center" w:pos="4536"/>
        <w:tab w:val="right" w:pos="9072"/>
      </w:tabs>
    </w:pPr>
  </w:style>
  <w:style w:type="character" w:styleId="ZhlavChar" w:customStyle="1">
    <w:name w:val="Záhlaví Char"/>
    <w:link w:val="Zhlav"/>
    <w:uiPriority w:val="99"/>
    <w:rsid w:val="00087B0F"/>
    <w:rPr>
      <w:sz w:val="22"/>
      <w:szCs w:val="22"/>
      <w:lang w:eastAsia="en-US"/>
    </w:rPr>
  </w:style>
  <w:style w:type="paragraph" w:styleId="Zpat">
    <w:name w:val="footer"/>
    <w:basedOn w:val="Normln"/>
    <w:link w:val="ZpatChar"/>
    <w:uiPriority w:val="99"/>
    <w:unhideWhenUsed/>
    <w:rsid w:val="00087B0F"/>
    <w:pPr>
      <w:tabs>
        <w:tab w:val="center" w:pos="4536"/>
        <w:tab w:val="right" w:pos="9072"/>
      </w:tabs>
    </w:pPr>
  </w:style>
  <w:style w:type="character" w:styleId="ZpatChar" w:customStyle="1">
    <w:name w:val="Zápatí Char"/>
    <w:link w:val="Zpat"/>
    <w:uiPriority w:val="99"/>
    <w:rsid w:val="00087B0F"/>
    <w:rPr>
      <w:sz w:val="22"/>
      <w:szCs w:val="22"/>
      <w:lang w:eastAsia="en-US"/>
    </w:rPr>
  </w:style>
  <w:style w:type="paragraph" w:styleId="F2-zkladn" w:customStyle="1">
    <w:name w:val="F2 - základní"/>
    <w:link w:val="F2-zkladnCharChar"/>
    <w:rsid w:val="00EB1C5A"/>
    <w:pPr>
      <w:spacing w:before="240" w:line="300" w:lineRule="exact"/>
      <w:jc w:val="both"/>
    </w:pPr>
    <w:rPr>
      <w:rFonts w:ascii="Arial" w:hAnsi="Arial" w:eastAsia="Times New Roman" w:cs="Arial"/>
      <w:lang w:eastAsia="cs-CZ"/>
    </w:rPr>
  </w:style>
  <w:style w:type="character" w:styleId="Hypertextovodkaz">
    <w:name w:val="Hyperlink"/>
    <w:semiHidden/>
    <w:rsid w:val="00EB1C5A"/>
    <w:rPr>
      <w:color w:val="0000FF"/>
      <w:u w:val="single"/>
    </w:rPr>
  </w:style>
  <w:style w:type="character" w:styleId="F2-zkladnCharChar" w:customStyle="1">
    <w:name w:val="F2 - základní Char Char"/>
    <w:link w:val="F2-zkladn"/>
    <w:rsid w:val="00EB1C5A"/>
    <w:rPr>
      <w:rFonts w:ascii="Arial" w:hAnsi="Arial" w:eastAsia="Times New Roman" w:cs="Arial"/>
    </w:rPr>
  </w:style>
  <w:style w:type="character" w:styleId="Odkaznakoment">
    <w:name w:val="annotation reference"/>
    <w:uiPriority w:val="99"/>
    <w:semiHidden/>
    <w:unhideWhenUsed/>
    <w:rsid w:val="00BC4A3D"/>
    <w:rPr>
      <w:sz w:val="16"/>
      <w:szCs w:val="16"/>
    </w:rPr>
  </w:style>
  <w:style w:type="paragraph" w:styleId="Textkomente">
    <w:name w:val="annotation text"/>
    <w:basedOn w:val="Normln"/>
    <w:link w:val="TextkomenteChar"/>
    <w:uiPriority w:val="99"/>
    <w:unhideWhenUsed/>
    <w:rsid w:val="00BC4A3D"/>
    <w:rPr>
      <w:sz w:val="20"/>
      <w:szCs w:val="20"/>
    </w:rPr>
  </w:style>
  <w:style w:type="character" w:styleId="TextkomenteChar" w:customStyle="1">
    <w:name w:val="Text komentáře Char"/>
    <w:link w:val="Textkomente"/>
    <w:uiPriority w:val="99"/>
    <w:rsid w:val="00BC4A3D"/>
    <w:rPr>
      <w:lang w:eastAsia="en-US"/>
    </w:rPr>
  </w:style>
  <w:style w:type="paragraph" w:styleId="Pedmtkomente">
    <w:name w:val="annotation subject"/>
    <w:basedOn w:val="Textkomente"/>
    <w:next w:val="Textkomente"/>
    <w:link w:val="PedmtkomenteChar"/>
    <w:uiPriority w:val="99"/>
    <w:semiHidden/>
    <w:unhideWhenUsed/>
    <w:rsid w:val="00BC4A3D"/>
    <w:rPr>
      <w:b/>
      <w:bCs/>
    </w:rPr>
  </w:style>
  <w:style w:type="character" w:styleId="PedmtkomenteChar" w:customStyle="1">
    <w:name w:val="Předmět komentáře Char"/>
    <w:link w:val="Pedmtkomente"/>
    <w:uiPriority w:val="99"/>
    <w:semiHidden/>
    <w:rsid w:val="00BC4A3D"/>
    <w:rPr>
      <w:b/>
      <w:bCs/>
      <w:lang w:eastAsia="en-US"/>
    </w:rPr>
  </w:style>
  <w:style w:type="paragraph" w:styleId="Textbubliny">
    <w:name w:val="Balloon Text"/>
    <w:basedOn w:val="Normln"/>
    <w:link w:val="TextbublinyChar"/>
    <w:uiPriority w:val="99"/>
    <w:semiHidden/>
    <w:unhideWhenUsed/>
    <w:rsid w:val="00BC4A3D"/>
    <w:pPr>
      <w:spacing w:after="0" w:line="240" w:lineRule="auto"/>
    </w:pPr>
    <w:rPr>
      <w:rFonts w:ascii="Segoe UI" w:hAnsi="Segoe UI" w:cs="Segoe UI"/>
      <w:sz w:val="18"/>
      <w:szCs w:val="18"/>
    </w:rPr>
  </w:style>
  <w:style w:type="character" w:styleId="TextbublinyChar" w:customStyle="1">
    <w:name w:val="Text bubliny Char"/>
    <w:link w:val="Textbubliny"/>
    <w:uiPriority w:val="99"/>
    <w:semiHidden/>
    <w:rsid w:val="00BC4A3D"/>
    <w:rPr>
      <w:rFonts w:ascii="Segoe UI" w:hAnsi="Segoe UI" w:cs="Segoe UI"/>
      <w:sz w:val="18"/>
      <w:szCs w:val="18"/>
      <w:lang w:eastAsia="en-US"/>
    </w:rPr>
  </w:style>
  <w:style w:type="paragraph" w:styleId="Revize">
    <w:name w:val="Revision"/>
    <w:hidden/>
    <w:uiPriority w:val="99"/>
    <w:semiHidden/>
    <w:rsid w:val="00BC4A3D"/>
    <w:rPr>
      <w:sz w:val="22"/>
      <w:szCs w:val="22"/>
      <w:lang w:eastAsia="en-US"/>
    </w:rPr>
  </w:style>
  <w:style w:type="paragraph" w:styleId="Default" w:customStyle="1">
    <w:name w:val="Default"/>
    <w:rsid w:val="00024EB1"/>
    <w:pPr>
      <w:autoSpaceDE w:val="0"/>
      <w:autoSpaceDN w:val="0"/>
      <w:adjustRightInd w:val="0"/>
    </w:pPr>
    <w:rPr>
      <w:rFonts w:ascii="Arial" w:hAnsi="Arial" w:cs="Arial" w:eastAsiaTheme="minorHAnsi"/>
      <w:color w:val="000000"/>
      <w:sz w:val="24"/>
      <w:szCs w:val="24"/>
      <w:lang w:eastAsia="en-US"/>
    </w:rPr>
  </w:style>
  <w:style w:type="paragraph" w:styleId="Textvysvtlivek">
    <w:name w:val="endnote text"/>
    <w:basedOn w:val="Normln"/>
    <w:link w:val="TextvysvtlivekChar"/>
    <w:uiPriority w:val="99"/>
    <w:semiHidden/>
    <w:unhideWhenUsed/>
    <w:rsid w:val="002468A7"/>
    <w:pPr>
      <w:spacing w:after="0" w:line="240" w:lineRule="auto"/>
    </w:pPr>
    <w:rPr>
      <w:sz w:val="20"/>
      <w:szCs w:val="20"/>
    </w:rPr>
  </w:style>
  <w:style w:type="character" w:styleId="TextvysvtlivekChar" w:customStyle="1">
    <w:name w:val="Text vysvětlivek Char"/>
    <w:basedOn w:val="Standardnpsmoodstavce"/>
    <w:link w:val="Textvysvtlivek"/>
    <w:uiPriority w:val="99"/>
    <w:semiHidden/>
    <w:rsid w:val="002468A7"/>
    <w:rPr>
      <w:lang w:eastAsia="en-US"/>
    </w:rPr>
  </w:style>
  <w:style w:type="character" w:styleId="Odkaznavysvtlivky">
    <w:name w:val="endnote reference"/>
    <w:basedOn w:val="Standardnpsmoodstavce"/>
    <w:uiPriority w:val="99"/>
    <w:semiHidden/>
    <w:unhideWhenUsed/>
    <w:rsid w:val="002468A7"/>
    <w:rPr>
      <w:vertAlign w:val="superscript"/>
    </w:rPr>
  </w:style>
  <w:style w:type="paragraph" w:styleId="Textpoznpodarou">
    <w:name w:val="footnote text"/>
    <w:basedOn w:val="Normln"/>
    <w:link w:val="TextpoznpodarouChar"/>
    <w:uiPriority w:val="99"/>
    <w:semiHidden/>
    <w:unhideWhenUsed/>
    <w:rsid w:val="006B531A"/>
    <w:pPr>
      <w:spacing w:after="0" w:line="240" w:lineRule="auto"/>
    </w:pPr>
    <w:rPr>
      <w:sz w:val="20"/>
      <w:szCs w:val="20"/>
    </w:rPr>
  </w:style>
  <w:style w:type="character" w:styleId="TextpoznpodarouChar" w:customStyle="1">
    <w:name w:val="Text pozn. pod čarou Char"/>
    <w:basedOn w:val="Standardnpsmoodstavce"/>
    <w:link w:val="Textpoznpodarou"/>
    <w:uiPriority w:val="99"/>
    <w:semiHidden/>
    <w:rsid w:val="006B531A"/>
    <w:rPr>
      <w:lang w:eastAsia="en-US"/>
    </w:rPr>
  </w:style>
  <w:style w:type="character" w:styleId="Znakapoznpodarou">
    <w:name w:val="footnote reference"/>
    <w:basedOn w:val="Standardnpsmoodstavce"/>
    <w:uiPriority w:val="99"/>
    <w:semiHidden/>
    <w:unhideWhenUsed/>
    <w:rsid w:val="006B531A"/>
    <w:rPr>
      <w:vertAlign w:val="superscript"/>
    </w:rPr>
  </w:style>
  <w:style w:type="character" w:styleId="Nevyeenzmnka">
    <w:name w:val="Unresolved Mention"/>
    <w:basedOn w:val="Standardnpsmoodstavce"/>
    <w:uiPriority w:val="99"/>
    <w:semiHidden/>
    <w:unhideWhenUsed/>
    <w:rsid w:val="002A3294"/>
    <w:rPr>
      <w:color w:val="605E5C"/>
      <w:shd w:val="clear" w:color="auto" w:fill="E1DFDD"/>
    </w:rPr>
  </w:style>
  <w:style w:type="paragraph" w:styleId="Normlnweb">
    <w:name w:val="Normal (Web)"/>
    <w:basedOn w:val="Normln"/>
    <w:uiPriority w:val="99"/>
    <w:semiHidden/>
    <w:unhideWhenUsed/>
    <w:rsid w:val="00ED4CF4"/>
    <w:pPr>
      <w:spacing w:before="100" w:beforeAutospacing="1" w:after="100" w:afterAutospacing="1" w:line="240" w:lineRule="auto"/>
    </w:pPr>
    <w:rPr>
      <w:rFonts w:ascii="Times New Roman" w:hAnsi="Times New Roman" w:eastAsia="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6880">
      <w:bodyDiv w:val="1"/>
      <w:marLeft w:val="0"/>
      <w:marRight w:val="0"/>
      <w:marTop w:val="0"/>
      <w:marBottom w:val="0"/>
      <w:divBdr>
        <w:top w:val="none" w:sz="0" w:space="0" w:color="auto"/>
        <w:left w:val="none" w:sz="0" w:space="0" w:color="auto"/>
        <w:bottom w:val="none" w:sz="0" w:space="0" w:color="auto"/>
        <w:right w:val="none" w:sz="0" w:space="0" w:color="auto"/>
      </w:divBdr>
    </w:div>
    <w:div w:id="58289220">
      <w:bodyDiv w:val="1"/>
      <w:marLeft w:val="0"/>
      <w:marRight w:val="0"/>
      <w:marTop w:val="0"/>
      <w:marBottom w:val="0"/>
      <w:divBdr>
        <w:top w:val="none" w:sz="0" w:space="0" w:color="auto"/>
        <w:left w:val="none" w:sz="0" w:space="0" w:color="auto"/>
        <w:bottom w:val="none" w:sz="0" w:space="0" w:color="auto"/>
        <w:right w:val="none" w:sz="0" w:space="0" w:color="auto"/>
      </w:divBdr>
    </w:div>
    <w:div w:id="72704477">
      <w:bodyDiv w:val="1"/>
      <w:marLeft w:val="0"/>
      <w:marRight w:val="0"/>
      <w:marTop w:val="0"/>
      <w:marBottom w:val="0"/>
      <w:divBdr>
        <w:top w:val="none" w:sz="0" w:space="0" w:color="auto"/>
        <w:left w:val="none" w:sz="0" w:space="0" w:color="auto"/>
        <w:bottom w:val="none" w:sz="0" w:space="0" w:color="auto"/>
        <w:right w:val="none" w:sz="0" w:space="0" w:color="auto"/>
      </w:divBdr>
    </w:div>
    <w:div w:id="460193796">
      <w:bodyDiv w:val="1"/>
      <w:marLeft w:val="0"/>
      <w:marRight w:val="0"/>
      <w:marTop w:val="0"/>
      <w:marBottom w:val="0"/>
      <w:divBdr>
        <w:top w:val="none" w:sz="0" w:space="0" w:color="auto"/>
        <w:left w:val="none" w:sz="0" w:space="0" w:color="auto"/>
        <w:bottom w:val="none" w:sz="0" w:space="0" w:color="auto"/>
        <w:right w:val="none" w:sz="0" w:space="0" w:color="auto"/>
      </w:divBdr>
    </w:div>
    <w:div w:id="549270150">
      <w:bodyDiv w:val="1"/>
      <w:marLeft w:val="0"/>
      <w:marRight w:val="0"/>
      <w:marTop w:val="0"/>
      <w:marBottom w:val="0"/>
      <w:divBdr>
        <w:top w:val="none" w:sz="0" w:space="0" w:color="auto"/>
        <w:left w:val="none" w:sz="0" w:space="0" w:color="auto"/>
        <w:bottom w:val="none" w:sz="0" w:space="0" w:color="auto"/>
        <w:right w:val="none" w:sz="0" w:space="0" w:color="auto"/>
      </w:divBdr>
    </w:div>
    <w:div w:id="910894313">
      <w:bodyDiv w:val="1"/>
      <w:marLeft w:val="0"/>
      <w:marRight w:val="0"/>
      <w:marTop w:val="0"/>
      <w:marBottom w:val="0"/>
      <w:divBdr>
        <w:top w:val="none" w:sz="0" w:space="0" w:color="auto"/>
        <w:left w:val="none" w:sz="0" w:space="0" w:color="auto"/>
        <w:bottom w:val="none" w:sz="0" w:space="0" w:color="auto"/>
        <w:right w:val="none" w:sz="0" w:space="0" w:color="auto"/>
      </w:divBdr>
    </w:div>
    <w:div w:id="1029524221">
      <w:bodyDiv w:val="1"/>
      <w:marLeft w:val="0"/>
      <w:marRight w:val="0"/>
      <w:marTop w:val="0"/>
      <w:marBottom w:val="0"/>
      <w:divBdr>
        <w:top w:val="none" w:sz="0" w:space="0" w:color="auto"/>
        <w:left w:val="none" w:sz="0" w:space="0" w:color="auto"/>
        <w:bottom w:val="none" w:sz="0" w:space="0" w:color="auto"/>
        <w:right w:val="none" w:sz="0" w:space="0" w:color="auto"/>
      </w:divBdr>
    </w:div>
    <w:div w:id="1078283639">
      <w:bodyDiv w:val="1"/>
      <w:marLeft w:val="0"/>
      <w:marRight w:val="0"/>
      <w:marTop w:val="0"/>
      <w:marBottom w:val="0"/>
      <w:divBdr>
        <w:top w:val="none" w:sz="0" w:space="0" w:color="auto"/>
        <w:left w:val="none" w:sz="0" w:space="0" w:color="auto"/>
        <w:bottom w:val="none" w:sz="0" w:space="0" w:color="auto"/>
        <w:right w:val="none" w:sz="0" w:space="0" w:color="auto"/>
      </w:divBdr>
    </w:div>
    <w:div w:id="1363094334">
      <w:bodyDiv w:val="1"/>
      <w:marLeft w:val="0"/>
      <w:marRight w:val="0"/>
      <w:marTop w:val="0"/>
      <w:marBottom w:val="0"/>
      <w:divBdr>
        <w:top w:val="none" w:sz="0" w:space="0" w:color="auto"/>
        <w:left w:val="none" w:sz="0" w:space="0" w:color="auto"/>
        <w:bottom w:val="none" w:sz="0" w:space="0" w:color="auto"/>
        <w:right w:val="none" w:sz="0" w:space="0" w:color="auto"/>
      </w:divBdr>
    </w:div>
    <w:div w:id="1376463605">
      <w:bodyDiv w:val="1"/>
      <w:marLeft w:val="0"/>
      <w:marRight w:val="0"/>
      <w:marTop w:val="0"/>
      <w:marBottom w:val="0"/>
      <w:divBdr>
        <w:top w:val="none" w:sz="0" w:space="0" w:color="auto"/>
        <w:left w:val="none" w:sz="0" w:space="0" w:color="auto"/>
        <w:bottom w:val="none" w:sz="0" w:space="0" w:color="auto"/>
        <w:right w:val="none" w:sz="0" w:space="0" w:color="auto"/>
      </w:divBdr>
    </w:div>
    <w:div w:id="1926068778">
      <w:bodyDiv w:val="1"/>
      <w:marLeft w:val="0"/>
      <w:marRight w:val="0"/>
      <w:marTop w:val="0"/>
      <w:marBottom w:val="0"/>
      <w:divBdr>
        <w:top w:val="none" w:sz="0" w:space="0" w:color="auto"/>
        <w:left w:val="none" w:sz="0" w:space="0" w:color="auto"/>
        <w:bottom w:val="none" w:sz="0" w:space="0" w:color="auto"/>
        <w:right w:val="none" w:sz="0" w:space="0" w:color="auto"/>
      </w:divBdr>
    </w:div>
    <w:div w:id="1970747824">
      <w:bodyDiv w:val="1"/>
      <w:marLeft w:val="0"/>
      <w:marRight w:val="0"/>
      <w:marTop w:val="0"/>
      <w:marBottom w:val="0"/>
      <w:divBdr>
        <w:top w:val="none" w:sz="0" w:space="0" w:color="auto"/>
        <w:left w:val="none" w:sz="0" w:space="0" w:color="auto"/>
        <w:bottom w:val="none" w:sz="0" w:space="0" w:color="auto"/>
        <w:right w:val="none" w:sz="0" w:space="0" w:color="auto"/>
      </w:divBdr>
    </w:div>
    <w:div w:id="2002467253">
      <w:bodyDiv w:val="1"/>
      <w:marLeft w:val="0"/>
      <w:marRight w:val="0"/>
      <w:marTop w:val="0"/>
      <w:marBottom w:val="0"/>
      <w:divBdr>
        <w:top w:val="none" w:sz="0" w:space="0" w:color="auto"/>
        <w:left w:val="none" w:sz="0" w:space="0" w:color="auto"/>
        <w:bottom w:val="none" w:sz="0" w:space="0" w:color="auto"/>
        <w:right w:val="none" w:sz="0" w:space="0" w:color="auto"/>
      </w:divBdr>
    </w:div>
    <w:div w:id="2109038829">
      <w:bodyDiv w:val="1"/>
      <w:marLeft w:val="0"/>
      <w:marRight w:val="0"/>
      <w:marTop w:val="0"/>
      <w:marBottom w:val="0"/>
      <w:divBdr>
        <w:top w:val="none" w:sz="0" w:space="0" w:color="auto"/>
        <w:left w:val="none" w:sz="0" w:space="0" w:color="auto"/>
        <w:bottom w:val="none" w:sz="0" w:space="0" w:color="auto"/>
        <w:right w:val="none" w:sz="0" w:space="0" w:color="auto"/>
      </w:divBdr>
    </w:div>
    <w:div w:id="214565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bakertilly.de/"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bakertillyinternational.com/web/home.aspx"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kamila.zitnakova@crestcom.cz" TargetMode="Externa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7" ma:contentTypeDescription="Create a new document." ma:contentTypeScope="" ma:versionID="ba54ac86fa32514b7de18f7e3d343370">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0cf17a622c2a0e98eb65bc20358a695a"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7E4DF-B34A-40D8-9B4C-46486313516F}">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2.xml><?xml version="1.0" encoding="utf-8"?>
<ds:datastoreItem xmlns:ds="http://schemas.openxmlformats.org/officeDocument/2006/customXml" ds:itemID="{D324D755-B27C-44A7-AE74-9DCC544A0D65}">
  <ds:schemaRefs>
    <ds:schemaRef ds:uri="http://schemas.openxmlformats.org/officeDocument/2006/bibliography"/>
  </ds:schemaRefs>
</ds:datastoreItem>
</file>

<file path=customXml/itemProps3.xml><?xml version="1.0" encoding="utf-8"?>
<ds:datastoreItem xmlns:ds="http://schemas.openxmlformats.org/officeDocument/2006/customXml" ds:itemID="{CC8FF66F-A157-442A-8009-5FD2957D1C07}">
  <ds:schemaRefs>
    <ds:schemaRef ds:uri="http://schemas.microsoft.com/sharepoint/v3/contenttype/forms"/>
  </ds:schemaRefs>
</ds:datastoreItem>
</file>

<file path=customXml/itemProps4.xml><?xml version="1.0" encoding="utf-8"?>
<ds:datastoreItem xmlns:ds="http://schemas.openxmlformats.org/officeDocument/2006/customXml" ds:itemID="{C93AA623-DF1C-419B-AF75-233BA4F654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Pavla Linhartová</dc:creator>
  <keywords/>
  <dc:description/>
  <lastModifiedBy>Kamila Žitňáková</lastModifiedBy>
  <revision>3</revision>
  <lastPrinted>2016-08-25T19:42:00.0000000Z</lastPrinted>
  <dcterms:created xsi:type="dcterms:W3CDTF">2024-07-15T12:33:00.0000000Z</dcterms:created>
  <dcterms:modified xsi:type="dcterms:W3CDTF">2024-07-16T10:17:53.3458571Z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